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7F" w:rsidRPr="00CA772A" w:rsidRDefault="00840B46" w:rsidP="00483134">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Contratti Multilicenza Microsoft </w:t>
      </w:r>
    </w:p>
    <w:p w:rsidR="00964930" w:rsidRDefault="003B5822" w:rsidP="00643BFF">
      <w:pPr>
        <w:pStyle w:val="DocTitle"/>
        <w:spacing w:line="240" w:lineRule="auto"/>
        <w:ind w:left="2434"/>
      </w:pPr>
      <w:r>
        <w:t>Manuale delle Licenze per il Contratto per i Prodotti e i Servizi Microsoft</w:t>
      </w:r>
    </w:p>
    <w:p w:rsidR="00643BFF" w:rsidRPr="00643BFF" w:rsidRDefault="00643BFF" w:rsidP="00643BFF">
      <w:pPr>
        <w:pStyle w:val="DocTitle"/>
        <w:spacing w:line="240" w:lineRule="auto"/>
        <w:ind w:left="2434"/>
        <w:rPr>
          <w:sz w:val="22"/>
          <w:szCs w:val="2"/>
        </w:rPr>
      </w:pPr>
    </w:p>
    <w:p w:rsidR="001D1377" w:rsidRPr="00CA772A" w:rsidRDefault="002F2383" w:rsidP="00964930">
      <w:pPr>
        <w:pStyle w:val="DocTitle"/>
      </w:pPr>
      <w:r w:rsidRPr="002F2383">
        <w:t>Febbraio</w:t>
      </w:r>
      <w:r w:rsidR="00235935">
        <w:t xml:space="preserve"> 2015</w:t>
      </w:r>
    </w:p>
    <w:p w:rsidR="001D1377" w:rsidRPr="00CA772A" w:rsidRDefault="001D1377" w:rsidP="003F7CA9"/>
    <w:p w:rsidR="002322E1" w:rsidRPr="00CA772A" w:rsidRDefault="002322E1" w:rsidP="003F7CA9"/>
    <w:p w:rsidR="00112B7F" w:rsidRPr="00CA772A" w:rsidRDefault="00112B7F" w:rsidP="003F7CA9">
      <w:r>
        <w:rPr>
          <w:noProof/>
          <w:lang w:val="en-US" w:eastAsia="en-US" w:bidi="ar-SA"/>
        </w:rPr>
        <w:drawing>
          <wp:anchor distT="0" distB="0" distL="114300" distR="114300" simplePos="0" relativeHeight="251658240" behindDoc="1" locked="1" layoutInCell="0" allowOverlap="1" wp14:anchorId="18A6E715" wp14:editId="55FBC72D">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rsidR="00112B7F" w:rsidRPr="00CA772A" w:rsidRDefault="00112B7F" w:rsidP="00B8569E">
      <w:pPr>
        <w:pStyle w:val="DocTitlewhite"/>
      </w:pPr>
    </w:p>
    <w:p w:rsidR="00112B7F" w:rsidRPr="00CA772A" w:rsidRDefault="00112B7F" w:rsidP="00B8569E"/>
    <w:p w:rsidR="001D1377" w:rsidRPr="00CA772A" w:rsidRDefault="001D1377" w:rsidP="00B8569E"/>
    <w:p w:rsidR="00112B7F" w:rsidRPr="00CA772A" w:rsidRDefault="00112B7F" w:rsidP="00B8569E"/>
    <w:p w:rsidR="00112B7F" w:rsidRPr="00CA772A" w:rsidRDefault="00112B7F" w:rsidP="00B8569E">
      <w:pPr>
        <w:pStyle w:val="DocTitle"/>
      </w:pPr>
    </w:p>
    <w:p w:rsidR="00112B7F" w:rsidRPr="00CA772A" w:rsidRDefault="00112B7F" w:rsidP="00B8569E"/>
    <w:p w:rsidR="00175A86" w:rsidRDefault="00175A86" w:rsidP="00281B0C">
      <w:pPr>
        <w:pStyle w:val="BodyText"/>
        <w:sectPr w:rsidR="00175A86"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rsidR="00112B7F" w:rsidRPr="00CA772A" w:rsidRDefault="00C415FE" w:rsidP="00EC190C">
      <w:pPr>
        <w:pStyle w:val="BodyText"/>
      </w:pPr>
      <w:r>
        <w:rPr>
          <w:rFonts w:ascii="Segoe UI Light" w:hAnsi="Segoe UI Light"/>
          <w:color w:val="68217A"/>
          <w:sz w:val="36"/>
        </w:rPr>
        <w:lastRenderedPageBreak/>
        <w:t>Sommario</w:t>
      </w:r>
    </w:p>
    <w:p w:rsidR="00525D89" w:rsidRDefault="0037779D">
      <w:pPr>
        <w:pStyle w:val="TOC1"/>
        <w:rPr>
          <w:rFonts w:asciiTheme="minorHAnsi" w:eastAsia="SimSun" w:hAnsiTheme="minorHAnsi"/>
          <w:color w:val="auto"/>
          <w:sz w:val="22"/>
          <w:szCs w:val="28"/>
          <w:lang w:val="en-US" w:eastAsia="zh-CN" w:bidi="th-TH"/>
        </w:rPr>
      </w:pPr>
      <w:r>
        <w:fldChar w:fldCharType="begin"/>
      </w:r>
      <w:r>
        <w:instrText xml:space="preserve"> TOC \o "1-2" \h \z \u </w:instrText>
      </w:r>
      <w:r>
        <w:fldChar w:fldCharType="separate"/>
      </w:r>
      <w:hyperlink w:anchor="_Toc416105604" w:history="1">
        <w:r w:rsidR="00525D89" w:rsidRPr="00595900">
          <w:rPr>
            <w:rStyle w:val="Hyperlink"/>
          </w:rPr>
          <w:t>Scopo del Documento e Risorse</w:t>
        </w:r>
        <w:r w:rsidR="00525D89">
          <w:rPr>
            <w:webHidden/>
          </w:rPr>
          <w:tab/>
        </w:r>
        <w:r w:rsidR="00525D89">
          <w:rPr>
            <w:webHidden/>
          </w:rPr>
          <w:fldChar w:fldCharType="begin"/>
        </w:r>
        <w:r w:rsidR="00525D89">
          <w:rPr>
            <w:webHidden/>
          </w:rPr>
          <w:instrText xml:space="preserve"> PAGEREF _Toc416105604 \h </w:instrText>
        </w:r>
        <w:r w:rsidR="00525D89">
          <w:rPr>
            <w:webHidden/>
          </w:rPr>
        </w:r>
        <w:r w:rsidR="00525D89">
          <w:rPr>
            <w:webHidden/>
          </w:rPr>
          <w:fldChar w:fldCharType="separate"/>
        </w:r>
        <w:r w:rsidR="00F73DC0">
          <w:rPr>
            <w:webHidden/>
          </w:rPr>
          <w:t>2</w:t>
        </w:r>
        <w:r w:rsidR="00525D89">
          <w:rPr>
            <w:webHidden/>
          </w:rPr>
          <w:fldChar w:fldCharType="end"/>
        </w:r>
      </w:hyperlink>
    </w:p>
    <w:p w:rsidR="00525D89" w:rsidRDefault="00C74B31">
      <w:pPr>
        <w:pStyle w:val="TOC1"/>
        <w:rPr>
          <w:rFonts w:asciiTheme="minorHAnsi" w:eastAsia="SimSun" w:hAnsiTheme="minorHAnsi"/>
          <w:color w:val="auto"/>
          <w:sz w:val="22"/>
          <w:szCs w:val="28"/>
          <w:lang w:val="en-US" w:eastAsia="zh-CN" w:bidi="th-TH"/>
        </w:rPr>
      </w:pPr>
      <w:hyperlink w:anchor="_Toc416105605" w:history="1">
        <w:r w:rsidR="00525D89" w:rsidRPr="00595900">
          <w:rPr>
            <w:rStyle w:val="Hyperlink"/>
          </w:rPr>
          <w:t>Articolo 1</w:t>
        </w:r>
        <w:r w:rsidR="00525D89">
          <w:rPr>
            <w:webHidden/>
          </w:rPr>
          <w:tab/>
        </w:r>
        <w:r w:rsidR="00525D89">
          <w:rPr>
            <w:webHidden/>
          </w:rPr>
          <w:fldChar w:fldCharType="begin"/>
        </w:r>
        <w:r w:rsidR="00525D89">
          <w:rPr>
            <w:webHidden/>
          </w:rPr>
          <w:instrText xml:space="preserve"> PAGEREF _Toc416105605 \h </w:instrText>
        </w:r>
        <w:r w:rsidR="00525D89">
          <w:rPr>
            <w:webHidden/>
          </w:rPr>
        </w:r>
        <w:r w:rsidR="00525D89">
          <w:rPr>
            <w:webHidden/>
          </w:rPr>
          <w:fldChar w:fldCharType="separate"/>
        </w:r>
        <w:r w:rsidR="00F73DC0">
          <w:rPr>
            <w:webHidden/>
          </w:rPr>
          <w:t>3</w:t>
        </w:r>
        <w:r w:rsidR="00525D89">
          <w:rPr>
            <w:webHidden/>
          </w:rPr>
          <w:fldChar w:fldCharType="end"/>
        </w:r>
      </w:hyperlink>
    </w:p>
    <w:p w:rsidR="00525D89" w:rsidRDefault="00C74B31">
      <w:pPr>
        <w:pStyle w:val="TOC1"/>
        <w:rPr>
          <w:rFonts w:asciiTheme="minorHAnsi" w:eastAsia="SimSun" w:hAnsiTheme="minorHAnsi"/>
          <w:color w:val="auto"/>
          <w:sz w:val="22"/>
          <w:szCs w:val="28"/>
          <w:lang w:val="en-US" w:eastAsia="zh-CN" w:bidi="th-TH"/>
        </w:rPr>
      </w:pPr>
      <w:hyperlink w:anchor="_Toc416105606" w:history="1">
        <w:r w:rsidR="00525D89" w:rsidRPr="00595900">
          <w:rPr>
            <w:rStyle w:val="Hyperlink"/>
            <w:rFonts w:asciiTheme="majorHAnsi" w:eastAsiaTheme="majorEastAsia" w:hAnsiTheme="majorHAnsi" w:cstheme="majorBidi"/>
            <w:bCs/>
          </w:rPr>
          <w:t>Contratto per i Prodotti e i Servizi Microsoft</w:t>
        </w:r>
        <w:r w:rsidR="00525D89">
          <w:rPr>
            <w:webHidden/>
          </w:rPr>
          <w:tab/>
        </w:r>
        <w:r w:rsidR="00525D89">
          <w:rPr>
            <w:webHidden/>
          </w:rPr>
          <w:fldChar w:fldCharType="begin"/>
        </w:r>
        <w:r w:rsidR="00525D89">
          <w:rPr>
            <w:webHidden/>
          </w:rPr>
          <w:instrText xml:space="preserve"> PAGEREF _Toc416105606 \h </w:instrText>
        </w:r>
        <w:r w:rsidR="00525D89">
          <w:rPr>
            <w:webHidden/>
          </w:rPr>
        </w:r>
        <w:r w:rsidR="00525D89">
          <w:rPr>
            <w:webHidden/>
          </w:rPr>
          <w:fldChar w:fldCharType="separate"/>
        </w:r>
        <w:r w:rsidR="00F73DC0">
          <w:rPr>
            <w:webHidden/>
          </w:rPr>
          <w:t>3</w:t>
        </w:r>
        <w:r w:rsidR="00525D89">
          <w:rPr>
            <w:webHidden/>
          </w:rPr>
          <w:fldChar w:fldCharType="end"/>
        </w:r>
      </w:hyperlink>
    </w:p>
    <w:p w:rsidR="00525D89" w:rsidRDefault="00C74B31">
      <w:pPr>
        <w:pStyle w:val="TOC1"/>
        <w:rPr>
          <w:rFonts w:asciiTheme="minorHAnsi" w:eastAsia="SimSun" w:hAnsiTheme="minorHAnsi"/>
          <w:color w:val="auto"/>
          <w:sz w:val="22"/>
          <w:szCs w:val="28"/>
          <w:lang w:val="en-US" w:eastAsia="zh-CN" w:bidi="th-TH"/>
        </w:rPr>
      </w:pPr>
      <w:hyperlink w:anchor="_Toc416105607" w:history="1">
        <w:r w:rsidR="00525D89" w:rsidRPr="00595900">
          <w:rPr>
            <w:rStyle w:val="Hyperlink"/>
            <w:rFonts w:asciiTheme="majorHAnsi" w:eastAsiaTheme="majorEastAsia" w:hAnsiTheme="majorHAnsi" w:cstheme="majorBidi"/>
            <w:bCs/>
          </w:rPr>
          <w:t>Struttura del contratto</w:t>
        </w:r>
        <w:r w:rsidR="00525D89">
          <w:rPr>
            <w:webHidden/>
          </w:rPr>
          <w:tab/>
        </w:r>
        <w:r w:rsidR="00525D89">
          <w:rPr>
            <w:webHidden/>
          </w:rPr>
          <w:fldChar w:fldCharType="begin"/>
        </w:r>
        <w:r w:rsidR="00525D89">
          <w:rPr>
            <w:webHidden/>
          </w:rPr>
          <w:instrText xml:space="preserve"> PAGEREF _Toc416105607 \h </w:instrText>
        </w:r>
        <w:r w:rsidR="00525D89">
          <w:rPr>
            <w:webHidden/>
          </w:rPr>
        </w:r>
        <w:r w:rsidR="00525D89">
          <w:rPr>
            <w:webHidden/>
          </w:rPr>
          <w:fldChar w:fldCharType="separate"/>
        </w:r>
        <w:r w:rsidR="00F73DC0">
          <w:rPr>
            <w:webHidden/>
          </w:rPr>
          <w:t>4</w:t>
        </w:r>
        <w:r w:rsidR="00525D89">
          <w:rPr>
            <w:webHidden/>
          </w:rPr>
          <w:fldChar w:fldCharType="end"/>
        </w:r>
      </w:hyperlink>
    </w:p>
    <w:p w:rsidR="00525D89" w:rsidRDefault="00C74B31">
      <w:pPr>
        <w:pStyle w:val="TOC1"/>
        <w:rPr>
          <w:rFonts w:asciiTheme="minorHAnsi" w:eastAsia="SimSun" w:hAnsiTheme="minorHAnsi"/>
          <w:color w:val="auto"/>
          <w:sz w:val="22"/>
          <w:szCs w:val="28"/>
          <w:lang w:val="en-US" w:eastAsia="zh-CN" w:bidi="th-TH"/>
        </w:rPr>
      </w:pPr>
      <w:hyperlink w:anchor="_Toc416105608" w:history="1">
        <w:r w:rsidR="00525D89" w:rsidRPr="00595900">
          <w:rPr>
            <w:rStyle w:val="Hyperlink"/>
            <w:rFonts w:asciiTheme="majorHAnsi" w:eastAsiaTheme="majorEastAsia" w:hAnsiTheme="majorHAnsi" w:cstheme="majorBidi"/>
            <w:bCs/>
          </w:rPr>
          <w:t>Acquisti Transazionali</w:t>
        </w:r>
        <w:r w:rsidR="00525D89">
          <w:rPr>
            <w:webHidden/>
          </w:rPr>
          <w:tab/>
        </w:r>
        <w:r w:rsidR="00525D89">
          <w:rPr>
            <w:webHidden/>
          </w:rPr>
          <w:fldChar w:fldCharType="begin"/>
        </w:r>
        <w:r w:rsidR="00525D89">
          <w:rPr>
            <w:webHidden/>
          </w:rPr>
          <w:instrText xml:space="preserve"> PAGEREF _Toc416105608 \h </w:instrText>
        </w:r>
        <w:r w:rsidR="00525D89">
          <w:rPr>
            <w:webHidden/>
          </w:rPr>
        </w:r>
        <w:r w:rsidR="00525D89">
          <w:rPr>
            <w:webHidden/>
          </w:rPr>
          <w:fldChar w:fldCharType="separate"/>
        </w:r>
        <w:r w:rsidR="00F73DC0">
          <w:rPr>
            <w:webHidden/>
          </w:rPr>
          <w:t>4</w:t>
        </w:r>
        <w:r w:rsidR="00525D89">
          <w:rPr>
            <w:webHidden/>
          </w:rPr>
          <w:fldChar w:fldCharType="end"/>
        </w:r>
      </w:hyperlink>
    </w:p>
    <w:p w:rsidR="00525D89" w:rsidRDefault="00C74B31">
      <w:pPr>
        <w:pStyle w:val="TOC1"/>
        <w:rPr>
          <w:rFonts w:asciiTheme="minorHAnsi" w:eastAsia="SimSun" w:hAnsiTheme="minorHAnsi"/>
          <w:color w:val="auto"/>
          <w:sz w:val="22"/>
          <w:szCs w:val="28"/>
          <w:lang w:val="en-US" w:eastAsia="zh-CN" w:bidi="th-TH"/>
        </w:rPr>
      </w:pPr>
      <w:hyperlink w:anchor="_Toc416105609" w:history="1">
        <w:r w:rsidR="00525D89" w:rsidRPr="00595900">
          <w:rPr>
            <w:rStyle w:val="Hyperlink"/>
          </w:rPr>
          <w:t>Articolo 2</w:t>
        </w:r>
        <w:r w:rsidR="00525D89">
          <w:rPr>
            <w:webHidden/>
          </w:rPr>
          <w:tab/>
        </w:r>
        <w:r w:rsidR="00525D89">
          <w:rPr>
            <w:webHidden/>
          </w:rPr>
          <w:fldChar w:fldCharType="begin"/>
        </w:r>
        <w:r w:rsidR="00525D89">
          <w:rPr>
            <w:webHidden/>
          </w:rPr>
          <w:instrText xml:space="preserve"> PAGEREF _Toc416105609 \h </w:instrText>
        </w:r>
        <w:r w:rsidR="00525D89">
          <w:rPr>
            <w:webHidden/>
          </w:rPr>
        </w:r>
        <w:r w:rsidR="00525D89">
          <w:rPr>
            <w:webHidden/>
          </w:rPr>
          <w:fldChar w:fldCharType="separate"/>
        </w:r>
        <w:r w:rsidR="00F73DC0">
          <w:rPr>
            <w:webHidden/>
          </w:rPr>
          <w:t>5</w:t>
        </w:r>
        <w:r w:rsidR="00525D89">
          <w:rPr>
            <w:webHidden/>
          </w:rPr>
          <w:fldChar w:fldCharType="end"/>
        </w:r>
      </w:hyperlink>
    </w:p>
    <w:p w:rsidR="00525D89" w:rsidRDefault="00C74B31">
      <w:pPr>
        <w:pStyle w:val="TOC1"/>
        <w:rPr>
          <w:rFonts w:asciiTheme="minorHAnsi" w:eastAsia="SimSun" w:hAnsiTheme="minorHAnsi"/>
          <w:color w:val="auto"/>
          <w:sz w:val="22"/>
          <w:szCs w:val="28"/>
          <w:lang w:val="en-US" w:eastAsia="zh-CN" w:bidi="th-TH"/>
        </w:rPr>
      </w:pPr>
      <w:hyperlink w:anchor="_Toc416105610" w:history="1">
        <w:r w:rsidR="00525D89" w:rsidRPr="00595900">
          <w:rPr>
            <w:rStyle w:val="Hyperlink"/>
            <w:rFonts w:asciiTheme="majorHAnsi" w:eastAsiaTheme="majorEastAsia" w:hAnsiTheme="majorHAnsi" w:cstheme="majorBidi"/>
            <w:bCs/>
          </w:rPr>
          <w:t>Vantaggi dei Servizi Online</w:t>
        </w:r>
        <w:r w:rsidR="00525D89">
          <w:rPr>
            <w:webHidden/>
          </w:rPr>
          <w:tab/>
        </w:r>
        <w:r w:rsidR="00525D89">
          <w:rPr>
            <w:webHidden/>
          </w:rPr>
          <w:fldChar w:fldCharType="begin"/>
        </w:r>
        <w:r w:rsidR="00525D89">
          <w:rPr>
            <w:webHidden/>
          </w:rPr>
          <w:instrText xml:space="preserve"> PAGEREF _Toc416105610 \h </w:instrText>
        </w:r>
        <w:r w:rsidR="00525D89">
          <w:rPr>
            <w:webHidden/>
          </w:rPr>
        </w:r>
        <w:r w:rsidR="00525D89">
          <w:rPr>
            <w:webHidden/>
          </w:rPr>
          <w:fldChar w:fldCharType="separate"/>
        </w:r>
        <w:r w:rsidR="00F73DC0">
          <w:rPr>
            <w:webHidden/>
          </w:rPr>
          <w:t>6</w:t>
        </w:r>
        <w:r w:rsidR="00525D89">
          <w:rPr>
            <w:webHidden/>
          </w:rPr>
          <w:fldChar w:fldCharType="end"/>
        </w:r>
      </w:hyperlink>
    </w:p>
    <w:p w:rsidR="00525D89" w:rsidRDefault="00C74B31">
      <w:pPr>
        <w:pStyle w:val="TOC1"/>
        <w:rPr>
          <w:rFonts w:asciiTheme="minorHAnsi" w:eastAsia="SimSun" w:hAnsiTheme="minorHAnsi"/>
          <w:color w:val="auto"/>
          <w:sz w:val="22"/>
          <w:szCs w:val="28"/>
          <w:lang w:val="en-US" w:eastAsia="zh-CN" w:bidi="th-TH"/>
        </w:rPr>
      </w:pPr>
      <w:hyperlink w:anchor="_Toc416105611" w:history="1">
        <w:r w:rsidR="00525D89" w:rsidRPr="00595900">
          <w:rPr>
            <w:rStyle w:val="Hyperlink"/>
            <w:rFonts w:asciiTheme="majorHAnsi" w:eastAsiaTheme="majorEastAsia" w:hAnsiTheme="majorHAnsi" w:cstheme="majorBidi"/>
            <w:bCs/>
          </w:rPr>
          <w:t>Software Assurance e Vantaggi</w:t>
        </w:r>
        <w:r w:rsidR="00525D89">
          <w:rPr>
            <w:webHidden/>
          </w:rPr>
          <w:tab/>
        </w:r>
        <w:r w:rsidR="00525D89">
          <w:rPr>
            <w:webHidden/>
          </w:rPr>
          <w:fldChar w:fldCharType="begin"/>
        </w:r>
        <w:r w:rsidR="00525D89">
          <w:rPr>
            <w:webHidden/>
          </w:rPr>
          <w:instrText xml:space="preserve"> PAGEREF _Toc416105611 \h </w:instrText>
        </w:r>
        <w:r w:rsidR="00525D89">
          <w:rPr>
            <w:webHidden/>
          </w:rPr>
        </w:r>
        <w:r w:rsidR="00525D89">
          <w:rPr>
            <w:webHidden/>
          </w:rPr>
          <w:fldChar w:fldCharType="separate"/>
        </w:r>
        <w:r w:rsidR="00F73DC0">
          <w:rPr>
            <w:webHidden/>
          </w:rPr>
          <w:t>6</w:t>
        </w:r>
        <w:r w:rsidR="00525D89">
          <w:rPr>
            <w:webHidden/>
          </w:rPr>
          <w:fldChar w:fldCharType="end"/>
        </w:r>
      </w:hyperlink>
    </w:p>
    <w:p w:rsidR="00525D89" w:rsidRDefault="00C74B31">
      <w:pPr>
        <w:pStyle w:val="TOC1"/>
        <w:rPr>
          <w:rFonts w:asciiTheme="minorHAnsi" w:eastAsia="SimSun" w:hAnsiTheme="minorHAnsi"/>
          <w:color w:val="auto"/>
          <w:sz w:val="22"/>
          <w:szCs w:val="28"/>
          <w:lang w:val="en-US" w:eastAsia="zh-CN" w:bidi="th-TH"/>
        </w:rPr>
      </w:pPr>
      <w:hyperlink w:anchor="_Toc416105612" w:history="1">
        <w:r w:rsidR="00525D89" w:rsidRPr="00595900">
          <w:rPr>
            <w:rStyle w:val="Hyperlink"/>
            <w:rFonts w:asciiTheme="majorHAnsi" w:eastAsiaTheme="majorEastAsia" w:hAnsiTheme="majorHAnsi" w:cstheme="majorBidi"/>
            <w:bCs/>
          </w:rPr>
          <w:t>Disponibilità dei Vantaggi di Software Assurance ai sensi del Contratto MPSA</w:t>
        </w:r>
        <w:r w:rsidR="00525D89">
          <w:rPr>
            <w:webHidden/>
          </w:rPr>
          <w:tab/>
        </w:r>
        <w:r w:rsidR="00525D89">
          <w:rPr>
            <w:webHidden/>
          </w:rPr>
          <w:fldChar w:fldCharType="begin"/>
        </w:r>
        <w:r w:rsidR="00525D89">
          <w:rPr>
            <w:webHidden/>
          </w:rPr>
          <w:instrText xml:space="preserve"> PAGEREF _Toc416105612 \h </w:instrText>
        </w:r>
        <w:r w:rsidR="00525D89">
          <w:rPr>
            <w:webHidden/>
          </w:rPr>
        </w:r>
        <w:r w:rsidR="00525D89">
          <w:rPr>
            <w:webHidden/>
          </w:rPr>
          <w:fldChar w:fldCharType="separate"/>
        </w:r>
        <w:r w:rsidR="00F73DC0">
          <w:rPr>
            <w:webHidden/>
          </w:rPr>
          <w:t>7</w:t>
        </w:r>
        <w:r w:rsidR="00525D89">
          <w:rPr>
            <w:webHidden/>
          </w:rPr>
          <w:fldChar w:fldCharType="end"/>
        </w:r>
      </w:hyperlink>
    </w:p>
    <w:p w:rsidR="00525D89" w:rsidRDefault="00C74B31">
      <w:pPr>
        <w:pStyle w:val="TOC1"/>
        <w:rPr>
          <w:rFonts w:asciiTheme="minorHAnsi" w:eastAsia="SimSun" w:hAnsiTheme="minorHAnsi"/>
          <w:color w:val="auto"/>
          <w:sz w:val="22"/>
          <w:szCs w:val="28"/>
          <w:lang w:val="en-US" w:eastAsia="zh-CN" w:bidi="th-TH"/>
        </w:rPr>
      </w:pPr>
      <w:hyperlink w:anchor="_Toc416105613" w:history="1">
        <w:r w:rsidR="00525D89" w:rsidRPr="00595900">
          <w:rPr>
            <w:rStyle w:val="Hyperlink"/>
            <w:rFonts w:asciiTheme="majorHAnsi" w:eastAsiaTheme="majorEastAsia" w:hAnsiTheme="majorHAnsi" w:cstheme="majorBidi"/>
            <w:bCs/>
          </w:rPr>
          <w:t>Vantaggi Basati sui Punti</w:t>
        </w:r>
        <w:r w:rsidR="00525D89">
          <w:rPr>
            <w:webHidden/>
          </w:rPr>
          <w:tab/>
        </w:r>
        <w:r w:rsidR="00525D89">
          <w:rPr>
            <w:webHidden/>
          </w:rPr>
          <w:fldChar w:fldCharType="begin"/>
        </w:r>
        <w:r w:rsidR="00525D89">
          <w:rPr>
            <w:webHidden/>
          </w:rPr>
          <w:instrText xml:space="preserve"> PAGEREF _Toc416105613 \h </w:instrText>
        </w:r>
        <w:r w:rsidR="00525D89">
          <w:rPr>
            <w:webHidden/>
          </w:rPr>
        </w:r>
        <w:r w:rsidR="00525D89">
          <w:rPr>
            <w:webHidden/>
          </w:rPr>
          <w:fldChar w:fldCharType="separate"/>
        </w:r>
        <w:r w:rsidR="00F73DC0">
          <w:rPr>
            <w:webHidden/>
          </w:rPr>
          <w:t>8</w:t>
        </w:r>
        <w:r w:rsidR="00525D89">
          <w:rPr>
            <w:webHidden/>
          </w:rPr>
          <w:fldChar w:fldCharType="end"/>
        </w:r>
      </w:hyperlink>
    </w:p>
    <w:p w:rsidR="00525D89" w:rsidRDefault="00C74B31">
      <w:pPr>
        <w:pStyle w:val="TOC2"/>
        <w:rPr>
          <w:rFonts w:asciiTheme="minorHAnsi" w:eastAsia="SimSun" w:hAnsiTheme="minorHAnsi" w:cstheme="minorBidi"/>
          <w:color w:val="auto"/>
          <w:sz w:val="22"/>
          <w:szCs w:val="28"/>
          <w:lang w:val="en-US" w:eastAsia="zh-CN" w:bidi="th-TH"/>
        </w:rPr>
      </w:pPr>
      <w:hyperlink w:anchor="_Toc416105614" w:history="1">
        <w:r w:rsidR="00525D89" w:rsidRPr="00595900">
          <w:rPr>
            <w:rStyle w:val="Hyperlink"/>
          </w:rPr>
          <w:t>Planning Services</w:t>
        </w:r>
        <w:r w:rsidR="00525D89">
          <w:rPr>
            <w:webHidden/>
          </w:rPr>
          <w:tab/>
        </w:r>
        <w:r w:rsidR="00525D89">
          <w:rPr>
            <w:webHidden/>
          </w:rPr>
          <w:fldChar w:fldCharType="begin"/>
        </w:r>
        <w:r w:rsidR="00525D89">
          <w:rPr>
            <w:webHidden/>
          </w:rPr>
          <w:instrText xml:space="preserve"> PAGEREF _Toc416105614 \h </w:instrText>
        </w:r>
        <w:r w:rsidR="00525D89">
          <w:rPr>
            <w:webHidden/>
          </w:rPr>
        </w:r>
        <w:r w:rsidR="00525D89">
          <w:rPr>
            <w:webHidden/>
          </w:rPr>
          <w:fldChar w:fldCharType="separate"/>
        </w:r>
        <w:r w:rsidR="00F73DC0">
          <w:rPr>
            <w:webHidden/>
          </w:rPr>
          <w:t>9</w:t>
        </w:r>
        <w:r w:rsidR="00525D89">
          <w:rPr>
            <w:webHidden/>
          </w:rPr>
          <w:fldChar w:fldCharType="end"/>
        </w:r>
      </w:hyperlink>
    </w:p>
    <w:p w:rsidR="00525D89" w:rsidRDefault="00C74B31">
      <w:pPr>
        <w:pStyle w:val="TOC2"/>
        <w:rPr>
          <w:rFonts w:asciiTheme="minorHAnsi" w:eastAsia="SimSun" w:hAnsiTheme="minorHAnsi" w:cstheme="minorBidi"/>
          <w:color w:val="auto"/>
          <w:sz w:val="22"/>
          <w:szCs w:val="28"/>
          <w:lang w:val="en-US" w:eastAsia="zh-CN" w:bidi="th-TH"/>
        </w:rPr>
      </w:pPr>
      <w:hyperlink w:anchor="_Toc416105615" w:history="1">
        <w:r w:rsidR="00525D89" w:rsidRPr="00595900">
          <w:rPr>
            <w:rStyle w:val="Hyperlink"/>
          </w:rPr>
          <w:t>Voucher Corsi</w:t>
        </w:r>
        <w:r w:rsidR="00525D89">
          <w:rPr>
            <w:webHidden/>
          </w:rPr>
          <w:tab/>
        </w:r>
        <w:r w:rsidR="00525D89">
          <w:rPr>
            <w:webHidden/>
          </w:rPr>
          <w:fldChar w:fldCharType="begin"/>
        </w:r>
        <w:r w:rsidR="00525D89">
          <w:rPr>
            <w:webHidden/>
          </w:rPr>
          <w:instrText xml:space="preserve"> PAGEREF _Toc416105615 \h </w:instrText>
        </w:r>
        <w:r w:rsidR="00525D89">
          <w:rPr>
            <w:webHidden/>
          </w:rPr>
        </w:r>
        <w:r w:rsidR="00525D89">
          <w:rPr>
            <w:webHidden/>
          </w:rPr>
          <w:fldChar w:fldCharType="separate"/>
        </w:r>
        <w:r w:rsidR="00F73DC0">
          <w:rPr>
            <w:webHidden/>
          </w:rPr>
          <w:t>10</w:t>
        </w:r>
        <w:r w:rsidR="00525D89">
          <w:rPr>
            <w:webHidden/>
          </w:rPr>
          <w:fldChar w:fldCharType="end"/>
        </w:r>
      </w:hyperlink>
    </w:p>
    <w:p w:rsidR="00525D89" w:rsidRDefault="00C74B31">
      <w:pPr>
        <w:pStyle w:val="TOC2"/>
        <w:rPr>
          <w:rFonts w:asciiTheme="minorHAnsi" w:eastAsia="SimSun" w:hAnsiTheme="minorHAnsi" w:cstheme="minorBidi"/>
          <w:color w:val="auto"/>
          <w:sz w:val="22"/>
          <w:szCs w:val="28"/>
          <w:lang w:val="en-US" w:eastAsia="zh-CN" w:bidi="th-TH"/>
        </w:rPr>
      </w:pPr>
      <w:hyperlink w:anchor="_Toc416105616" w:history="1">
        <w:r w:rsidR="00525D89" w:rsidRPr="00595900">
          <w:rPr>
            <w:rStyle w:val="Hyperlink"/>
          </w:rPr>
          <w:t>Supporto per la Risoluzione dei Problemi 24x7</w:t>
        </w:r>
        <w:r w:rsidR="00525D89">
          <w:rPr>
            <w:webHidden/>
          </w:rPr>
          <w:tab/>
        </w:r>
        <w:r w:rsidR="00525D89">
          <w:rPr>
            <w:webHidden/>
          </w:rPr>
          <w:fldChar w:fldCharType="begin"/>
        </w:r>
        <w:r w:rsidR="00525D89">
          <w:rPr>
            <w:webHidden/>
          </w:rPr>
          <w:instrText xml:space="preserve"> PAGEREF _Toc416105616 \h </w:instrText>
        </w:r>
        <w:r w:rsidR="00525D89">
          <w:rPr>
            <w:webHidden/>
          </w:rPr>
        </w:r>
        <w:r w:rsidR="00525D89">
          <w:rPr>
            <w:webHidden/>
          </w:rPr>
          <w:fldChar w:fldCharType="separate"/>
        </w:r>
        <w:r w:rsidR="00F73DC0">
          <w:rPr>
            <w:webHidden/>
          </w:rPr>
          <w:t>11</w:t>
        </w:r>
        <w:r w:rsidR="00525D89">
          <w:rPr>
            <w:webHidden/>
          </w:rPr>
          <w:fldChar w:fldCharType="end"/>
        </w:r>
      </w:hyperlink>
    </w:p>
    <w:p w:rsidR="00525D89" w:rsidRDefault="00C74B31">
      <w:pPr>
        <w:pStyle w:val="TOC1"/>
        <w:rPr>
          <w:rFonts w:asciiTheme="minorHAnsi" w:eastAsia="SimSun" w:hAnsiTheme="minorHAnsi"/>
          <w:color w:val="auto"/>
          <w:sz w:val="22"/>
          <w:szCs w:val="28"/>
          <w:lang w:val="en-US" w:eastAsia="zh-CN" w:bidi="th-TH"/>
        </w:rPr>
      </w:pPr>
      <w:hyperlink w:anchor="_Toc416105617" w:history="1">
        <w:r w:rsidR="00525D89" w:rsidRPr="00595900">
          <w:rPr>
            <w:rStyle w:val="Hyperlink"/>
            <w:rFonts w:asciiTheme="majorHAnsi" w:eastAsiaTheme="majorEastAsia" w:hAnsiTheme="majorHAnsi" w:cstheme="majorBidi"/>
            <w:bCs/>
          </w:rPr>
          <w:t>Vantaggi per i Prodotti Qualificanti</w:t>
        </w:r>
        <w:r w:rsidR="00525D89">
          <w:rPr>
            <w:webHidden/>
          </w:rPr>
          <w:tab/>
        </w:r>
        <w:r w:rsidR="00525D89">
          <w:rPr>
            <w:webHidden/>
          </w:rPr>
          <w:fldChar w:fldCharType="begin"/>
        </w:r>
        <w:r w:rsidR="00525D89">
          <w:rPr>
            <w:webHidden/>
          </w:rPr>
          <w:instrText xml:space="preserve"> PAGEREF _Toc416105617 \h </w:instrText>
        </w:r>
        <w:r w:rsidR="00525D89">
          <w:rPr>
            <w:webHidden/>
          </w:rPr>
        </w:r>
        <w:r w:rsidR="00525D89">
          <w:rPr>
            <w:webHidden/>
          </w:rPr>
          <w:fldChar w:fldCharType="separate"/>
        </w:r>
        <w:r w:rsidR="00F73DC0">
          <w:rPr>
            <w:webHidden/>
          </w:rPr>
          <w:t>14</w:t>
        </w:r>
        <w:r w:rsidR="00525D89">
          <w:rPr>
            <w:webHidden/>
          </w:rPr>
          <w:fldChar w:fldCharType="end"/>
        </w:r>
      </w:hyperlink>
    </w:p>
    <w:p w:rsidR="00525D89" w:rsidRDefault="00C74B31">
      <w:pPr>
        <w:pStyle w:val="TOC2"/>
        <w:rPr>
          <w:rFonts w:asciiTheme="minorHAnsi" w:eastAsia="SimSun" w:hAnsiTheme="minorHAnsi" w:cstheme="minorBidi"/>
          <w:color w:val="auto"/>
          <w:sz w:val="22"/>
          <w:szCs w:val="28"/>
          <w:lang w:val="en-US" w:eastAsia="zh-CN" w:bidi="th-TH"/>
        </w:rPr>
      </w:pPr>
      <w:hyperlink w:anchor="_Toc416105618" w:history="1">
        <w:r w:rsidR="00525D89" w:rsidRPr="00595900">
          <w:rPr>
            <w:rStyle w:val="Hyperlink"/>
          </w:rPr>
          <w:t>Diritti su Versioni Nuove</w:t>
        </w:r>
        <w:r w:rsidR="00525D89">
          <w:rPr>
            <w:webHidden/>
          </w:rPr>
          <w:tab/>
        </w:r>
        <w:r w:rsidR="00525D89">
          <w:rPr>
            <w:webHidden/>
          </w:rPr>
          <w:fldChar w:fldCharType="begin"/>
        </w:r>
        <w:r w:rsidR="00525D89">
          <w:rPr>
            <w:webHidden/>
          </w:rPr>
          <w:instrText xml:space="preserve"> PAGEREF _Toc416105618 \h </w:instrText>
        </w:r>
        <w:r w:rsidR="00525D89">
          <w:rPr>
            <w:webHidden/>
          </w:rPr>
        </w:r>
        <w:r w:rsidR="00525D89">
          <w:rPr>
            <w:webHidden/>
          </w:rPr>
          <w:fldChar w:fldCharType="separate"/>
        </w:r>
        <w:r w:rsidR="00F73DC0">
          <w:rPr>
            <w:webHidden/>
          </w:rPr>
          <w:t>14</w:t>
        </w:r>
        <w:r w:rsidR="00525D89">
          <w:rPr>
            <w:webHidden/>
          </w:rPr>
          <w:fldChar w:fldCharType="end"/>
        </w:r>
      </w:hyperlink>
    </w:p>
    <w:p w:rsidR="00525D89" w:rsidRDefault="00C74B31">
      <w:pPr>
        <w:pStyle w:val="TOC2"/>
        <w:rPr>
          <w:rFonts w:asciiTheme="minorHAnsi" w:eastAsia="SimSun" w:hAnsiTheme="minorHAnsi" w:cstheme="minorBidi"/>
          <w:color w:val="auto"/>
          <w:sz w:val="22"/>
          <w:szCs w:val="28"/>
          <w:lang w:val="en-US" w:eastAsia="zh-CN" w:bidi="th-TH"/>
        </w:rPr>
      </w:pPr>
      <w:hyperlink w:anchor="_Toc416105619" w:history="1">
        <w:r w:rsidR="00525D89" w:rsidRPr="00595900">
          <w:rPr>
            <w:rStyle w:val="Hyperlink"/>
          </w:rPr>
          <w:t>Office Multi Language Pack</w:t>
        </w:r>
        <w:r w:rsidR="00525D89">
          <w:rPr>
            <w:webHidden/>
          </w:rPr>
          <w:tab/>
        </w:r>
        <w:r w:rsidR="00525D89">
          <w:rPr>
            <w:webHidden/>
          </w:rPr>
          <w:fldChar w:fldCharType="begin"/>
        </w:r>
        <w:r w:rsidR="00525D89">
          <w:rPr>
            <w:webHidden/>
          </w:rPr>
          <w:instrText xml:space="preserve"> PAGEREF _Toc416105619 \h </w:instrText>
        </w:r>
        <w:r w:rsidR="00525D89">
          <w:rPr>
            <w:webHidden/>
          </w:rPr>
        </w:r>
        <w:r w:rsidR="00525D89">
          <w:rPr>
            <w:webHidden/>
          </w:rPr>
          <w:fldChar w:fldCharType="separate"/>
        </w:r>
        <w:r w:rsidR="00F73DC0">
          <w:rPr>
            <w:webHidden/>
          </w:rPr>
          <w:t>14</w:t>
        </w:r>
        <w:r w:rsidR="00525D89">
          <w:rPr>
            <w:webHidden/>
          </w:rPr>
          <w:fldChar w:fldCharType="end"/>
        </w:r>
      </w:hyperlink>
    </w:p>
    <w:p w:rsidR="00525D89" w:rsidRDefault="00C74B31">
      <w:pPr>
        <w:pStyle w:val="TOC2"/>
        <w:rPr>
          <w:rFonts w:asciiTheme="minorHAnsi" w:eastAsia="SimSun" w:hAnsiTheme="minorHAnsi" w:cstheme="minorBidi"/>
          <w:color w:val="auto"/>
          <w:sz w:val="22"/>
          <w:szCs w:val="28"/>
          <w:lang w:val="en-US" w:eastAsia="zh-CN" w:bidi="th-TH"/>
        </w:rPr>
      </w:pPr>
      <w:hyperlink w:anchor="_Toc416105620" w:history="1">
        <w:r w:rsidR="00525D89" w:rsidRPr="00595900">
          <w:rPr>
            <w:rStyle w:val="Hyperlink"/>
          </w:rPr>
          <w:t>Vantaggi delle Edizioni Enhanced: Windows e Windows Embedded</w:t>
        </w:r>
        <w:r w:rsidR="00525D89">
          <w:rPr>
            <w:webHidden/>
          </w:rPr>
          <w:tab/>
        </w:r>
        <w:r w:rsidR="00525D89">
          <w:rPr>
            <w:webHidden/>
          </w:rPr>
          <w:fldChar w:fldCharType="begin"/>
        </w:r>
        <w:r w:rsidR="00525D89">
          <w:rPr>
            <w:webHidden/>
          </w:rPr>
          <w:instrText xml:space="preserve"> PAGEREF _Toc416105620 \h </w:instrText>
        </w:r>
        <w:r w:rsidR="00525D89">
          <w:rPr>
            <w:webHidden/>
          </w:rPr>
        </w:r>
        <w:r w:rsidR="00525D89">
          <w:rPr>
            <w:webHidden/>
          </w:rPr>
          <w:fldChar w:fldCharType="separate"/>
        </w:r>
        <w:r w:rsidR="00F73DC0">
          <w:rPr>
            <w:webHidden/>
          </w:rPr>
          <w:t>15</w:t>
        </w:r>
        <w:r w:rsidR="00525D89">
          <w:rPr>
            <w:webHidden/>
          </w:rPr>
          <w:fldChar w:fldCharType="end"/>
        </w:r>
      </w:hyperlink>
    </w:p>
    <w:p w:rsidR="00525D89" w:rsidRDefault="00C74B31">
      <w:pPr>
        <w:pStyle w:val="TOC2"/>
        <w:rPr>
          <w:rFonts w:asciiTheme="minorHAnsi" w:eastAsia="SimSun" w:hAnsiTheme="minorHAnsi" w:cstheme="minorBidi"/>
          <w:color w:val="auto"/>
          <w:sz w:val="22"/>
          <w:szCs w:val="28"/>
          <w:lang w:val="en-US" w:eastAsia="zh-CN" w:bidi="th-TH"/>
        </w:rPr>
      </w:pPr>
      <w:hyperlink w:anchor="_Toc416105621" w:history="1">
        <w:r w:rsidR="00525D89" w:rsidRPr="00595900">
          <w:rPr>
            <w:rStyle w:val="Hyperlink"/>
          </w:rPr>
          <w:t>E-Learning</w:t>
        </w:r>
        <w:r w:rsidR="00525D89">
          <w:rPr>
            <w:webHidden/>
          </w:rPr>
          <w:tab/>
        </w:r>
        <w:r w:rsidR="00525D89">
          <w:rPr>
            <w:webHidden/>
          </w:rPr>
          <w:fldChar w:fldCharType="begin"/>
        </w:r>
        <w:r w:rsidR="00525D89">
          <w:rPr>
            <w:webHidden/>
          </w:rPr>
          <w:instrText xml:space="preserve"> PAGEREF _Toc416105621 \h </w:instrText>
        </w:r>
        <w:r w:rsidR="00525D89">
          <w:rPr>
            <w:webHidden/>
          </w:rPr>
        </w:r>
        <w:r w:rsidR="00525D89">
          <w:rPr>
            <w:webHidden/>
          </w:rPr>
          <w:fldChar w:fldCharType="separate"/>
        </w:r>
        <w:r w:rsidR="00F73DC0">
          <w:rPr>
            <w:webHidden/>
          </w:rPr>
          <w:t>15</w:t>
        </w:r>
        <w:r w:rsidR="00525D89">
          <w:rPr>
            <w:webHidden/>
          </w:rPr>
          <w:fldChar w:fldCharType="end"/>
        </w:r>
      </w:hyperlink>
    </w:p>
    <w:p w:rsidR="00525D89" w:rsidRDefault="00C74B31">
      <w:pPr>
        <w:pStyle w:val="TOC2"/>
        <w:rPr>
          <w:rFonts w:asciiTheme="minorHAnsi" w:eastAsia="SimSun" w:hAnsiTheme="minorHAnsi" w:cstheme="minorBidi"/>
          <w:color w:val="auto"/>
          <w:sz w:val="22"/>
          <w:szCs w:val="28"/>
          <w:lang w:val="en-US" w:eastAsia="zh-CN" w:bidi="th-TH"/>
        </w:rPr>
      </w:pPr>
      <w:hyperlink w:anchor="_Toc416105622" w:history="1">
        <w:r w:rsidR="00525D89" w:rsidRPr="00595900">
          <w:rPr>
            <w:rStyle w:val="Hyperlink"/>
          </w:rPr>
          <w:t>Home Use Program</w:t>
        </w:r>
        <w:r w:rsidR="00525D89">
          <w:rPr>
            <w:webHidden/>
          </w:rPr>
          <w:tab/>
        </w:r>
        <w:r w:rsidR="00525D89">
          <w:rPr>
            <w:webHidden/>
          </w:rPr>
          <w:fldChar w:fldCharType="begin"/>
        </w:r>
        <w:r w:rsidR="00525D89">
          <w:rPr>
            <w:webHidden/>
          </w:rPr>
          <w:instrText xml:space="preserve"> PAGEREF _Toc416105622 \h </w:instrText>
        </w:r>
        <w:r w:rsidR="00525D89">
          <w:rPr>
            <w:webHidden/>
          </w:rPr>
        </w:r>
        <w:r w:rsidR="00525D89">
          <w:rPr>
            <w:webHidden/>
          </w:rPr>
          <w:fldChar w:fldCharType="separate"/>
        </w:r>
        <w:r w:rsidR="00F73DC0">
          <w:rPr>
            <w:webHidden/>
          </w:rPr>
          <w:t>15</w:t>
        </w:r>
        <w:r w:rsidR="00525D89">
          <w:rPr>
            <w:webHidden/>
          </w:rPr>
          <w:fldChar w:fldCharType="end"/>
        </w:r>
      </w:hyperlink>
    </w:p>
    <w:p w:rsidR="00525D89" w:rsidRDefault="00C74B31">
      <w:pPr>
        <w:pStyle w:val="TOC2"/>
        <w:rPr>
          <w:rFonts w:asciiTheme="minorHAnsi" w:eastAsia="SimSun" w:hAnsiTheme="minorHAnsi" w:cstheme="minorBidi"/>
          <w:color w:val="auto"/>
          <w:sz w:val="22"/>
          <w:szCs w:val="28"/>
          <w:lang w:val="en-US" w:eastAsia="zh-CN" w:bidi="th-TH"/>
        </w:rPr>
      </w:pPr>
      <w:hyperlink w:anchor="_Toc416105623" w:history="1">
        <w:r w:rsidR="00525D89" w:rsidRPr="00595900">
          <w:rPr>
            <w:rStyle w:val="Hyperlink"/>
          </w:rPr>
          <w:t>Enterprise Source Licensing Program</w:t>
        </w:r>
        <w:r w:rsidR="00525D89">
          <w:rPr>
            <w:webHidden/>
          </w:rPr>
          <w:tab/>
        </w:r>
        <w:r w:rsidR="00525D89">
          <w:rPr>
            <w:webHidden/>
          </w:rPr>
          <w:fldChar w:fldCharType="begin"/>
        </w:r>
        <w:r w:rsidR="00525D89">
          <w:rPr>
            <w:webHidden/>
          </w:rPr>
          <w:instrText xml:space="preserve"> PAGEREF _Toc416105623 \h </w:instrText>
        </w:r>
        <w:r w:rsidR="00525D89">
          <w:rPr>
            <w:webHidden/>
          </w:rPr>
        </w:r>
        <w:r w:rsidR="00525D89">
          <w:rPr>
            <w:webHidden/>
          </w:rPr>
          <w:fldChar w:fldCharType="separate"/>
        </w:r>
        <w:r w:rsidR="00F73DC0">
          <w:rPr>
            <w:webHidden/>
          </w:rPr>
          <w:t>16</w:t>
        </w:r>
        <w:r w:rsidR="00525D89">
          <w:rPr>
            <w:webHidden/>
          </w:rPr>
          <w:fldChar w:fldCharType="end"/>
        </w:r>
      </w:hyperlink>
    </w:p>
    <w:p w:rsidR="00525D89" w:rsidRDefault="00C74B31">
      <w:pPr>
        <w:pStyle w:val="TOC2"/>
        <w:rPr>
          <w:rFonts w:asciiTheme="minorHAnsi" w:eastAsia="SimSun" w:hAnsiTheme="minorHAnsi" w:cstheme="minorBidi"/>
          <w:color w:val="auto"/>
          <w:sz w:val="22"/>
          <w:szCs w:val="28"/>
          <w:lang w:val="en-US" w:eastAsia="zh-CN" w:bidi="th-TH"/>
        </w:rPr>
      </w:pPr>
      <w:hyperlink w:anchor="_Toc416105624" w:history="1">
        <w:r w:rsidR="00525D89" w:rsidRPr="00595900">
          <w:rPr>
            <w:rStyle w:val="Hyperlink"/>
          </w:rPr>
          <w:t>System Center Global Service Monitor</w:t>
        </w:r>
        <w:r w:rsidR="00525D89">
          <w:rPr>
            <w:webHidden/>
          </w:rPr>
          <w:tab/>
        </w:r>
        <w:r w:rsidR="00525D89">
          <w:rPr>
            <w:webHidden/>
          </w:rPr>
          <w:fldChar w:fldCharType="begin"/>
        </w:r>
        <w:r w:rsidR="00525D89">
          <w:rPr>
            <w:webHidden/>
          </w:rPr>
          <w:instrText xml:space="preserve"> PAGEREF _Toc416105624 \h </w:instrText>
        </w:r>
        <w:r w:rsidR="00525D89">
          <w:rPr>
            <w:webHidden/>
          </w:rPr>
        </w:r>
        <w:r w:rsidR="00525D89">
          <w:rPr>
            <w:webHidden/>
          </w:rPr>
          <w:fldChar w:fldCharType="separate"/>
        </w:r>
        <w:r w:rsidR="00F73DC0">
          <w:rPr>
            <w:webHidden/>
          </w:rPr>
          <w:t>16</w:t>
        </w:r>
        <w:r w:rsidR="00525D89">
          <w:rPr>
            <w:webHidden/>
          </w:rPr>
          <w:fldChar w:fldCharType="end"/>
        </w:r>
      </w:hyperlink>
    </w:p>
    <w:p w:rsidR="00525D89" w:rsidRDefault="00C74B31">
      <w:pPr>
        <w:pStyle w:val="TOC2"/>
        <w:rPr>
          <w:rFonts w:asciiTheme="minorHAnsi" w:eastAsia="SimSun" w:hAnsiTheme="minorHAnsi" w:cstheme="minorBidi"/>
          <w:color w:val="auto"/>
          <w:sz w:val="22"/>
          <w:szCs w:val="28"/>
          <w:lang w:val="en-US" w:eastAsia="zh-CN" w:bidi="th-TH"/>
        </w:rPr>
      </w:pPr>
      <w:hyperlink w:anchor="_Toc416105625" w:history="1">
        <w:r w:rsidR="00525D89" w:rsidRPr="00595900">
          <w:rPr>
            <w:rStyle w:val="Hyperlink"/>
          </w:rPr>
          <w:t>Backup per Ripristino di Emergenza</w:t>
        </w:r>
        <w:r w:rsidR="00525D89">
          <w:rPr>
            <w:webHidden/>
          </w:rPr>
          <w:tab/>
        </w:r>
        <w:r w:rsidR="00525D89">
          <w:rPr>
            <w:webHidden/>
          </w:rPr>
          <w:fldChar w:fldCharType="begin"/>
        </w:r>
        <w:r w:rsidR="00525D89">
          <w:rPr>
            <w:webHidden/>
          </w:rPr>
          <w:instrText xml:space="preserve"> PAGEREF _Toc416105625 \h </w:instrText>
        </w:r>
        <w:r w:rsidR="00525D89">
          <w:rPr>
            <w:webHidden/>
          </w:rPr>
        </w:r>
        <w:r w:rsidR="00525D89">
          <w:rPr>
            <w:webHidden/>
          </w:rPr>
          <w:fldChar w:fldCharType="separate"/>
        </w:r>
        <w:r w:rsidR="00F73DC0">
          <w:rPr>
            <w:webHidden/>
          </w:rPr>
          <w:t>17</w:t>
        </w:r>
        <w:r w:rsidR="00525D89">
          <w:rPr>
            <w:webHidden/>
          </w:rPr>
          <w:fldChar w:fldCharType="end"/>
        </w:r>
      </w:hyperlink>
    </w:p>
    <w:p w:rsidR="00525D89" w:rsidRDefault="00C74B31">
      <w:pPr>
        <w:pStyle w:val="TOC2"/>
        <w:rPr>
          <w:rFonts w:asciiTheme="minorHAnsi" w:eastAsia="SimSun" w:hAnsiTheme="minorHAnsi" w:cstheme="minorBidi"/>
          <w:color w:val="auto"/>
          <w:sz w:val="22"/>
          <w:szCs w:val="28"/>
          <w:lang w:val="en-US" w:eastAsia="zh-CN" w:bidi="th-TH"/>
        </w:rPr>
      </w:pPr>
      <w:hyperlink w:anchor="_Toc416105626" w:history="1">
        <w:r w:rsidR="00525D89" w:rsidRPr="00595900">
          <w:rPr>
            <w:rStyle w:val="Hyperlink"/>
          </w:rPr>
          <w:t>Mobilità delle Licenze tramite Software Assurance</w:t>
        </w:r>
        <w:r w:rsidR="00525D89">
          <w:rPr>
            <w:webHidden/>
          </w:rPr>
          <w:tab/>
        </w:r>
        <w:r w:rsidR="00525D89">
          <w:rPr>
            <w:webHidden/>
          </w:rPr>
          <w:fldChar w:fldCharType="begin"/>
        </w:r>
        <w:r w:rsidR="00525D89">
          <w:rPr>
            <w:webHidden/>
          </w:rPr>
          <w:instrText xml:space="preserve"> PAGEREF _Toc416105626 \h </w:instrText>
        </w:r>
        <w:r w:rsidR="00525D89">
          <w:rPr>
            <w:webHidden/>
          </w:rPr>
        </w:r>
        <w:r w:rsidR="00525D89">
          <w:rPr>
            <w:webHidden/>
          </w:rPr>
          <w:fldChar w:fldCharType="separate"/>
        </w:r>
        <w:r w:rsidR="00F73DC0">
          <w:rPr>
            <w:webHidden/>
          </w:rPr>
          <w:t>17</w:t>
        </w:r>
        <w:r w:rsidR="00525D89">
          <w:rPr>
            <w:webHidden/>
          </w:rPr>
          <w:fldChar w:fldCharType="end"/>
        </w:r>
      </w:hyperlink>
    </w:p>
    <w:p w:rsidR="00525D89" w:rsidRDefault="00C74B31">
      <w:pPr>
        <w:pStyle w:val="TOC2"/>
        <w:rPr>
          <w:rFonts w:asciiTheme="minorHAnsi" w:eastAsia="SimSun" w:hAnsiTheme="minorHAnsi" w:cstheme="minorBidi"/>
          <w:color w:val="auto"/>
          <w:sz w:val="22"/>
          <w:szCs w:val="28"/>
          <w:lang w:val="en-US" w:eastAsia="zh-CN" w:bidi="th-TH"/>
        </w:rPr>
      </w:pPr>
      <w:hyperlink w:anchor="_Toc416105627" w:history="1">
        <w:r w:rsidR="00525D89" w:rsidRPr="00595900">
          <w:rPr>
            <w:rStyle w:val="Hyperlink"/>
          </w:rPr>
          <w:t>Windows Thin PC</w:t>
        </w:r>
        <w:r w:rsidR="00525D89">
          <w:rPr>
            <w:webHidden/>
          </w:rPr>
          <w:tab/>
        </w:r>
        <w:r w:rsidR="00525D89">
          <w:rPr>
            <w:webHidden/>
          </w:rPr>
          <w:fldChar w:fldCharType="begin"/>
        </w:r>
        <w:r w:rsidR="00525D89">
          <w:rPr>
            <w:webHidden/>
          </w:rPr>
          <w:instrText xml:space="preserve"> PAGEREF _Toc416105627 \h </w:instrText>
        </w:r>
        <w:r w:rsidR="00525D89">
          <w:rPr>
            <w:webHidden/>
          </w:rPr>
        </w:r>
        <w:r w:rsidR="00525D89">
          <w:rPr>
            <w:webHidden/>
          </w:rPr>
          <w:fldChar w:fldCharType="separate"/>
        </w:r>
        <w:r w:rsidR="00F73DC0">
          <w:rPr>
            <w:webHidden/>
          </w:rPr>
          <w:t>17</w:t>
        </w:r>
        <w:r w:rsidR="00525D89">
          <w:rPr>
            <w:webHidden/>
          </w:rPr>
          <w:fldChar w:fldCharType="end"/>
        </w:r>
      </w:hyperlink>
    </w:p>
    <w:p w:rsidR="00525D89" w:rsidRDefault="00C74B31">
      <w:pPr>
        <w:pStyle w:val="TOC2"/>
        <w:rPr>
          <w:rFonts w:asciiTheme="minorHAnsi" w:eastAsia="SimSun" w:hAnsiTheme="minorHAnsi" w:cstheme="minorBidi"/>
          <w:color w:val="auto"/>
          <w:sz w:val="22"/>
          <w:szCs w:val="28"/>
          <w:lang w:val="en-US" w:eastAsia="zh-CN" w:bidi="th-TH"/>
        </w:rPr>
      </w:pPr>
      <w:hyperlink w:anchor="_Toc416105628" w:history="1">
        <w:r w:rsidR="00525D89" w:rsidRPr="00595900">
          <w:rPr>
            <w:rStyle w:val="Hyperlink"/>
          </w:rPr>
          <w:t>Supporto Hotfix Esteso</w:t>
        </w:r>
        <w:r w:rsidR="00525D89">
          <w:rPr>
            <w:webHidden/>
          </w:rPr>
          <w:tab/>
        </w:r>
        <w:r w:rsidR="00525D89">
          <w:rPr>
            <w:webHidden/>
          </w:rPr>
          <w:fldChar w:fldCharType="begin"/>
        </w:r>
        <w:r w:rsidR="00525D89">
          <w:rPr>
            <w:webHidden/>
          </w:rPr>
          <w:instrText xml:space="preserve"> PAGEREF _Toc416105628 \h </w:instrText>
        </w:r>
        <w:r w:rsidR="00525D89">
          <w:rPr>
            <w:webHidden/>
          </w:rPr>
        </w:r>
        <w:r w:rsidR="00525D89">
          <w:rPr>
            <w:webHidden/>
          </w:rPr>
          <w:fldChar w:fldCharType="separate"/>
        </w:r>
        <w:r w:rsidR="00F73DC0">
          <w:rPr>
            <w:webHidden/>
          </w:rPr>
          <w:t>18</w:t>
        </w:r>
        <w:r w:rsidR="00525D89">
          <w:rPr>
            <w:webHidden/>
          </w:rPr>
          <w:fldChar w:fldCharType="end"/>
        </w:r>
      </w:hyperlink>
    </w:p>
    <w:p w:rsidR="00525D89" w:rsidRDefault="00C74B31">
      <w:pPr>
        <w:pStyle w:val="TOC2"/>
        <w:rPr>
          <w:rFonts w:asciiTheme="minorHAnsi" w:eastAsia="SimSun" w:hAnsiTheme="minorHAnsi" w:cstheme="minorBidi"/>
          <w:color w:val="auto"/>
          <w:sz w:val="22"/>
          <w:szCs w:val="28"/>
          <w:lang w:val="en-US" w:eastAsia="zh-CN" w:bidi="th-TH"/>
        </w:rPr>
      </w:pPr>
      <w:hyperlink w:anchor="_Toc416105629" w:history="1">
        <w:r w:rsidR="00525D89" w:rsidRPr="00595900">
          <w:rPr>
            <w:rStyle w:val="Hyperlink"/>
          </w:rPr>
          <w:t>Microsoft Dynamics CustomerSource</w:t>
        </w:r>
        <w:r w:rsidR="00525D89">
          <w:rPr>
            <w:webHidden/>
          </w:rPr>
          <w:tab/>
        </w:r>
        <w:r w:rsidR="00525D89">
          <w:rPr>
            <w:webHidden/>
          </w:rPr>
          <w:fldChar w:fldCharType="begin"/>
        </w:r>
        <w:r w:rsidR="00525D89">
          <w:rPr>
            <w:webHidden/>
          </w:rPr>
          <w:instrText xml:space="preserve"> PAGEREF _Toc416105629 \h </w:instrText>
        </w:r>
        <w:r w:rsidR="00525D89">
          <w:rPr>
            <w:webHidden/>
          </w:rPr>
        </w:r>
        <w:r w:rsidR="00525D89">
          <w:rPr>
            <w:webHidden/>
          </w:rPr>
          <w:fldChar w:fldCharType="separate"/>
        </w:r>
        <w:r w:rsidR="00F73DC0">
          <w:rPr>
            <w:webHidden/>
          </w:rPr>
          <w:t>18</w:t>
        </w:r>
        <w:r w:rsidR="00525D89">
          <w:rPr>
            <w:webHidden/>
          </w:rPr>
          <w:fldChar w:fldCharType="end"/>
        </w:r>
      </w:hyperlink>
    </w:p>
    <w:p w:rsidR="00525D89" w:rsidRDefault="00C74B31">
      <w:pPr>
        <w:pStyle w:val="TOC2"/>
        <w:rPr>
          <w:rFonts w:asciiTheme="minorHAnsi" w:eastAsia="SimSun" w:hAnsiTheme="minorHAnsi" w:cstheme="minorBidi"/>
          <w:color w:val="auto"/>
          <w:sz w:val="22"/>
          <w:szCs w:val="28"/>
          <w:lang w:val="en-US" w:eastAsia="zh-CN" w:bidi="th-TH"/>
        </w:rPr>
      </w:pPr>
      <w:hyperlink w:anchor="_Toc416105630" w:history="1">
        <w:r w:rsidR="00525D89" w:rsidRPr="00595900">
          <w:rPr>
            <w:rStyle w:val="Hyperlink"/>
            <w:lang w:val="en-US"/>
          </w:rPr>
          <w:t>Microsoft Desktop Optimization Pack per Software Assurance (MDOP)</w:t>
        </w:r>
        <w:r w:rsidR="00525D89">
          <w:rPr>
            <w:webHidden/>
          </w:rPr>
          <w:tab/>
        </w:r>
        <w:r w:rsidR="00525D89">
          <w:rPr>
            <w:webHidden/>
          </w:rPr>
          <w:fldChar w:fldCharType="begin"/>
        </w:r>
        <w:r w:rsidR="00525D89">
          <w:rPr>
            <w:webHidden/>
          </w:rPr>
          <w:instrText xml:space="preserve"> PAGEREF _Toc416105630 \h </w:instrText>
        </w:r>
        <w:r w:rsidR="00525D89">
          <w:rPr>
            <w:webHidden/>
          </w:rPr>
        </w:r>
        <w:r w:rsidR="00525D89">
          <w:rPr>
            <w:webHidden/>
          </w:rPr>
          <w:fldChar w:fldCharType="separate"/>
        </w:r>
        <w:r w:rsidR="00F73DC0">
          <w:rPr>
            <w:webHidden/>
          </w:rPr>
          <w:t>18</w:t>
        </w:r>
        <w:r w:rsidR="00525D89">
          <w:rPr>
            <w:webHidden/>
          </w:rPr>
          <w:fldChar w:fldCharType="end"/>
        </w:r>
      </w:hyperlink>
    </w:p>
    <w:p w:rsidR="00525D89" w:rsidRDefault="00C74B31">
      <w:pPr>
        <w:pStyle w:val="TOC2"/>
        <w:rPr>
          <w:rFonts w:asciiTheme="minorHAnsi" w:eastAsia="SimSun" w:hAnsiTheme="minorHAnsi" w:cstheme="minorBidi"/>
          <w:color w:val="auto"/>
          <w:sz w:val="22"/>
          <w:szCs w:val="28"/>
          <w:lang w:val="en-US" w:eastAsia="zh-CN" w:bidi="th-TH"/>
        </w:rPr>
      </w:pPr>
      <w:hyperlink w:anchor="_Toc416105631" w:history="1">
        <w:r w:rsidR="00525D89" w:rsidRPr="00595900">
          <w:rPr>
            <w:rStyle w:val="Hyperlink"/>
          </w:rPr>
          <w:t>Diritti di Virtualizzazione per i Desktop con Licenza per Windows e Windows Embedded</w:t>
        </w:r>
        <w:r w:rsidR="00525D89">
          <w:rPr>
            <w:webHidden/>
          </w:rPr>
          <w:tab/>
        </w:r>
        <w:r w:rsidR="00525D89">
          <w:rPr>
            <w:webHidden/>
          </w:rPr>
          <w:fldChar w:fldCharType="begin"/>
        </w:r>
        <w:r w:rsidR="00525D89">
          <w:rPr>
            <w:webHidden/>
          </w:rPr>
          <w:instrText xml:space="preserve"> PAGEREF _Toc416105631 \h </w:instrText>
        </w:r>
        <w:r w:rsidR="00525D89">
          <w:rPr>
            <w:webHidden/>
          </w:rPr>
        </w:r>
        <w:r w:rsidR="00525D89">
          <w:rPr>
            <w:webHidden/>
          </w:rPr>
          <w:fldChar w:fldCharType="separate"/>
        </w:r>
        <w:r w:rsidR="00F73DC0">
          <w:rPr>
            <w:webHidden/>
          </w:rPr>
          <w:t>18</w:t>
        </w:r>
        <w:r w:rsidR="00525D89">
          <w:rPr>
            <w:webHidden/>
          </w:rPr>
          <w:fldChar w:fldCharType="end"/>
        </w:r>
      </w:hyperlink>
    </w:p>
    <w:p w:rsidR="00525D89" w:rsidRDefault="00C74B31">
      <w:pPr>
        <w:pStyle w:val="TOC2"/>
        <w:rPr>
          <w:rFonts w:asciiTheme="minorHAnsi" w:eastAsia="SimSun" w:hAnsiTheme="minorHAnsi" w:cstheme="minorBidi"/>
          <w:color w:val="auto"/>
          <w:sz w:val="22"/>
          <w:szCs w:val="28"/>
          <w:lang w:val="en-US" w:eastAsia="zh-CN" w:bidi="th-TH"/>
        </w:rPr>
      </w:pPr>
      <w:hyperlink w:anchor="_Toc416105632" w:history="1">
        <w:r w:rsidR="00525D89" w:rsidRPr="00595900">
          <w:rPr>
            <w:rStyle w:val="Hyperlink"/>
          </w:rPr>
          <w:t>Diritti per Windows Virtual Desktop Access (VDA)</w:t>
        </w:r>
        <w:r w:rsidR="00525D89">
          <w:rPr>
            <w:webHidden/>
          </w:rPr>
          <w:tab/>
        </w:r>
        <w:r w:rsidR="00525D89">
          <w:rPr>
            <w:webHidden/>
          </w:rPr>
          <w:fldChar w:fldCharType="begin"/>
        </w:r>
        <w:r w:rsidR="00525D89">
          <w:rPr>
            <w:webHidden/>
          </w:rPr>
          <w:instrText xml:space="preserve"> PAGEREF _Toc416105632 \h </w:instrText>
        </w:r>
        <w:r w:rsidR="00525D89">
          <w:rPr>
            <w:webHidden/>
          </w:rPr>
        </w:r>
        <w:r w:rsidR="00525D89">
          <w:rPr>
            <w:webHidden/>
          </w:rPr>
          <w:fldChar w:fldCharType="separate"/>
        </w:r>
        <w:r w:rsidR="00F73DC0">
          <w:rPr>
            <w:webHidden/>
          </w:rPr>
          <w:t>18</w:t>
        </w:r>
        <w:r w:rsidR="00525D89">
          <w:rPr>
            <w:webHidden/>
          </w:rPr>
          <w:fldChar w:fldCharType="end"/>
        </w:r>
      </w:hyperlink>
    </w:p>
    <w:p w:rsidR="00525D89" w:rsidRDefault="00C74B31">
      <w:pPr>
        <w:pStyle w:val="TOC1"/>
        <w:rPr>
          <w:rFonts w:asciiTheme="minorHAnsi" w:eastAsia="SimSun" w:hAnsiTheme="minorHAnsi"/>
          <w:color w:val="auto"/>
          <w:sz w:val="22"/>
          <w:szCs w:val="28"/>
          <w:lang w:val="en-US" w:eastAsia="zh-CN" w:bidi="th-TH"/>
        </w:rPr>
      </w:pPr>
      <w:hyperlink w:anchor="_Toc416105633" w:history="1">
        <w:r w:rsidR="00525D89" w:rsidRPr="00595900">
          <w:rPr>
            <w:rStyle w:val="Hyperlink"/>
          </w:rPr>
          <w:t>Articolo 3</w:t>
        </w:r>
        <w:r w:rsidR="00525D89">
          <w:rPr>
            <w:webHidden/>
          </w:rPr>
          <w:tab/>
        </w:r>
        <w:r w:rsidR="00525D89">
          <w:rPr>
            <w:webHidden/>
          </w:rPr>
          <w:fldChar w:fldCharType="begin"/>
        </w:r>
        <w:r w:rsidR="00525D89">
          <w:rPr>
            <w:webHidden/>
          </w:rPr>
          <w:instrText xml:space="preserve"> PAGEREF _Toc416105633 \h </w:instrText>
        </w:r>
        <w:r w:rsidR="00525D89">
          <w:rPr>
            <w:webHidden/>
          </w:rPr>
        </w:r>
        <w:r w:rsidR="00525D89">
          <w:rPr>
            <w:webHidden/>
          </w:rPr>
          <w:fldChar w:fldCharType="separate"/>
        </w:r>
        <w:r w:rsidR="00F73DC0">
          <w:rPr>
            <w:webHidden/>
          </w:rPr>
          <w:t>19</w:t>
        </w:r>
        <w:r w:rsidR="00525D89">
          <w:rPr>
            <w:webHidden/>
          </w:rPr>
          <w:fldChar w:fldCharType="end"/>
        </w:r>
      </w:hyperlink>
    </w:p>
    <w:p w:rsidR="00525D89" w:rsidRDefault="00C74B31">
      <w:pPr>
        <w:pStyle w:val="TOC1"/>
        <w:rPr>
          <w:rFonts w:asciiTheme="minorHAnsi" w:eastAsia="SimSun" w:hAnsiTheme="minorHAnsi"/>
          <w:color w:val="auto"/>
          <w:sz w:val="22"/>
          <w:szCs w:val="28"/>
          <w:lang w:val="en-US" w:eastAsia="zh-CN" w:bidi="th-TH"/>
        </w:rPr>
      </w:pPr>
      <w:hyperlink w:anchor="_Toc416105634" w:history="1">
        <w:r w:rsidR="00525D89" w:rsidRPr="00595900">
          <w:rPr>
            <w:rStyle w:val="Hyperlink"/>
            <w:rFonts w:asciiTheme="majorHAnsi" w:eastAsiaTheme="majorEastAsia" w:hAnsiTheme="majorHAnsi" w:cstheme="majorBidi"/>
            <w:bCs/>
          </w:rPr>
          <w:t>Creazione di copie di Prodotti e diritti di re-imaging</w:t>
        </w:r>
        <w:r w:rsidR="00525D89">
          <w:rPr>
            <w:webHidden/>
          </w:rPr>
          <w:tab/>
        </w:r>
        <w:r w:rsidR="00525D89">
          <w:rPr>
            <w:webHidden/>
          </w:rPr>
          <w:fldChar w:fldCharType="begin"/>
        </w:r>
        <w:r w:rsidR="00525D89">
          <w:rPr>
            <w:webHidden/>
          </w:rPr>
          <w:instrText xml:space="preserve"> PAGEREF _Toc416105634 \h </w:instrText>
        </w:r>
        <w:r w:rsidR="00525D89">
          <w:rPr>
            <w:webHidden/>
          </w:rPr>
        </w:r>
        <w:r w:rsidR="00525D89">
          <w:rPr>
            <w:webHidden/>
          </w:rPr>
          <w:fldChar w:fldCharType="separate"/>
        </w:r>
        <w:r w:rsidR="00F73DC0">
          <w:rPr>
            <w:webHidden/>
          </w:rPr>
          <w:t>19</w:t>
        </w:r>
        <w:r w:rsidR="00525D89">
          <w:rPr>
            <w:webHidden/>
          </w:rPr>
          <w:fldChar w:fldCharType="end"/>
        </w:r>
      </w:hyperlink>
    </w:p>
    <w:p w:rsidR="00525D89" w:rsidRDefault="00C74B31">
      <w:pPr>
        <w:pStyle w:val="TOC1"/>
        <w:rPr>
          <w:rFonts w:asciiTheme="minorHAnsi" w:eastAsia="SimSun" w:hAnsiTheme="minorHAnsi"/>
          <w:color w:val="auto"/>
          <w:sz w:val="22"/>
          <w:szCs w:val="28"/>
          <w:lang w:val="en-US" w:eastAsia="zh-CN" w:bidi="th-TH"/>
        </w:rPr>
      </w:pPr>
      <w:hyperlink w:anchor="_Toc416105635" w:history="1">
        <w:r w:rsidR="00525D89" w:rsidRPr="00595900">
          <w:rPr>
            <w:rStyle w:val="Hyperlink"/>
            <w:rFonts w:asciiTheme="majorHAnsi" w:eastAsiaTheme="majorEastAsia" w:hAnsiTheme="majorHAnsi" w:cstheme="majorBidi"/>
            <w:bCs/>
          </w:rPr>
          <w:t>Procedura per il Trasferimento di Licenze</w:t>
        </w:r>
        <w:r w:rsidR="00525D89">
          <w:rPr>
            <w:webHidden/>
          </w:rPr>
          <w:tab/>
        </w:r>
        <w:r w:rsidR="00525D89">
          <w:rPr>
            <w:webHidden/>
          </w:rPr>
          <w:fldChar w:fldCharType="begin"/>
        </w:r>
        <w:r w:rsidR="00525D89">
          <w:rPr>
            <w:webHidden/>
          </w:rPr>
          <w:instrText xml:space="preserve"> PAGEREF _Toc416105635 \h </w:instrText>
        </w:r>
        <w:r w:rsidR="00525D89">
          <w:rPr>
            <w:webHidden/>
          </w:rPr>
        </w:r>
        <w:r w:rsidR="00525D89">
          <w:rPr>
            <w:webHidden/>
          </w:rPr>
          <w:fldChar w:fldCharType="separate"/>
        </w:r>
        <w:r w:rsidR="00F73DC0">
          <w:rPr>
            <w:webHidden/>
          </w:rPr>
          <w:t>19</w:t>
        </w:r>
        <w:r w:rsidR="00525D89">
          <w:rPr>
            <w:webHidden/>
          </w:rPr>
          <w:fldChar w:fldCharType="end"/>
        </w:r>
      </w:hyperlink>
    </w:p>
    <w:p w:rsidR="00525D89" w:rsidRDefault="00C74B31">
      <w:pPr>
        <w:pStyle w:val="TOC1"/>
        <w:rPr>
          <w:rFonts w:asciiTheme="minorHAnsi" w:eastAsia="SimSun" w:hAnsiTheme="minorHAnsi"/>
          <w:color w:val="auto"/>
          <w:sz w:val="22"/>
          <w:szCs w:val="28"/>
          <w:lang w:val="en-US" w:eastAsia="zh-CN" w:bidi="th-TH"/>
        </w:rPr>
      </w:pPr>
      <w:hyperlink w:anchor="_Toc416105636" w:history="1">
        <w:r w:rsidR="00525D89" w:rsidRPr="00595900">
          <w:rPr>
            <w:rStyle w:val="Hyperlink"/>
            <w:rFonts w:asciiTheme="majorHAnsi" w:eastAsiaTheme="majorEastAsia" w:hAnsiTheme="majorHAnsi" w:cstheme="majorBidi"/>
            <w:bCs/>
          </w:rPr>
          <w:t>Calamità Naturali</w:t>
        </w:r>
        <w:r w:rsidR="00525D89">
          <w:rPr>
            <w:webHidden/>
          </w:rPr>
          <w:tab/>
        </w:r>
        <w:r w:rsidR="00525D89">
          <w:rPr>
            <w:webHidden/>
          </w:rPr>
          <w:fldChar w:fldCharType="begin"/>
        </w:r>
        <w:r w:rsidR="00525D89">
          <w:rPr>
            <w:webHidden/>
          </w:rPr>
          <w:instrText xml:space="preserve"> PAGEREF _Toc416105636 \h </w:instrText>
        </w:r>
        <w:r w:rsidR="00525D89">
          <w:rPr>
            <w:webHidden/>
          </w:rPr>
        </w:r>
        <w:r w:rsidR="00525D89">
          <w:rPr>
            <w:webHidden/>
          </w:rPr>
          <w:fldChar w:fldCharType="separate"/>
        </w:r>
        <w:r w:rsidR="00F73DC0">
          <w:rPr>
            <w:webHidden/>
          </w:rPr>
          <w:t>19</w:t>
        </w:r>
        <w:r w:rsidR="00525D89">
          <w:rPr>
            <w:webHidden/>
          </w:rPr>
          <w:fldChar w:fldCharType="end"/>
        </w:r>
      </w:hyperlink>
    </w:p>
    <w:p w:rsidR="00525D89" w:rsidRDefault="00C74B31">
      <w:pPr>
        <w:pStyle w:val="TOC1"/>
        <w:rPr>
          <w:rFonts w:asciiTheme="minorHAnsi" w:eastAsia="SimSun" w:hAnsiTheme="minorHAnsi"/>
          <w:color w:val="auto"/>
          <w:sz w:val="22"/>
          <w:szCs w:val="28"/>
          <w:lang w:val="en-US" w:eastAsia="zh-CN" w:bidi="th-TH"/>
        </w:rPr>
      </w:pPr>
      <w:hyperlink w:anchor="_Toc416105637" w:history="1">
        <w:r w:rsidR="00525D89" w:rsidRPr="00595900">
          <w:rPr>
            <w:rStyle w:val="Hyperlink"/>
          </w:rPr>
          <w:t>Articolo 4</w:t>
        </w:r>
        <w:r w:rsidR="00525D89">
          <w:rPr>
            <w:webHidden/>
          </w:rPr>
          <w:tab/>
        </w:r>
        <w:r w:rsidR="00525D89">
          <w:rPr>
            <w:webHidden/>
          </w:rPr>
          <w:fldChar w:fldCharType="begin"/>
        </w:r>
        <w:r w:rsidR="00525D89">
          <w:rPr>
            <w:webHidden/>
          </w:rPr>
          <w:instrText xml:space="preserve"> PAGEREF _Toc416105637 \h </w:instrText>
        </w:r>
        <w:r w:rsidR="00525D89">
          <w:rPr>
            <w:webHidden/>
          </w:rPr>
        </w:r>
        <w:r w:rsidR="00525D89">
          <w:rPr>
            <w:webHidden/>
          </w:rPr>
          <w:fldChar w:fldCharType="separate"/>
        </w:r>
        <w:r w:rsidR="00F73DC0">
          <w:rPr>
            <w:webHidden/>
          </w:rPr>
          <w:t>20</w:t>
        </w:r>
        <w:r w:rsidR="00525D89">
          <w:rPr>
            <w:webHidden/>
          </w:rPr>
          <w:fldChar w:fldCharType="end"/>
        </w:r>
      </w:hyperlink>
    </w:p>
    <w:p w:rsidR="00525D89" w:rsidRDefault="00C74B31">
      <w:pPr>
        <w:pStyle w:val="TOC1"/>
        <w:rPr>
          <w:rFonts w:asciiTheme="minorHAnsi" w:eastAsia="SimSun" w:hAnsiTheme="minorHAnsi"/>
          <w:color w:val="auto"/>
          <w:sz w:val="22"/>
          <w:szCs w:val="28"/>
          <w:lang w:val="en-US" w:eastAsia="zh-CN" w:bidi="th-TH"/>
        </w:rPr>
      </w:pPr>
      <w:hyperlink w:anchor="_Toc416105638" w:history="1">
        <w:r w:rsidR="00525D89" w:rsidRPr="00595900">
          <w:rPr>
            <w:rStyle w:val="Hyperlink"/>
            <w:rFonts w:asciiTheme="majorHAnsi" w:eastAsiaTheme="majorEastAsia" w:hAnsiTheme="majorHAnsi" w:cstheme="majorBidi"/>
          </w:rPr>
          <w:t>Modifiche apportate al Manuale delle Licenze negli ultimi 12 mesi</w:t>
        </w:r>
        <w:r w:rsidR="00525D89">
          <w:rPr>
            <w:webHidden/>
          </w:rPr>
          <w:tab/>
        </w:r>
        <w:r w:rsidR="00525D89">
          <w:rPr>
            <w:webHidden/>
          </w:rPr>
          <w:fldChar w:fldCharType="begin"/>
        </w:r>
        <w:r w:rsidR="00525D89">
          <w:rPr>
            <w:webHidden/>
          </w:rPr>
          <w:instrText xml:space="preserve"> PAGEREF _Toc416105638 \h </w:instrText>
        </w:r>
        <w:r w:rsidR="00525D89">
          <w:rPr>
            <w:webHidden/>
          </w:rPr>
        </w:r>
        <w:r w:rsidR="00525D89">
          <w:rPr>
            <w:webHidden/>
          </w:rPr>
          <w:fldChar w:fldCharType="separate"/>
        </w:r>
        <w:r w:rsidR="00F73DC0">
          <w:rPr>
            <w:webHidden/>
          </w:rPr>
          <w:t>20</w:t>
        </w:r>
        <w:r w:rsidR="00525D89">
          <w:rPr>
            <w:webHidden/>
          </w:rPr>
          <w:fldChar w:fldCharType="end"/>
        </w:r>
      </w:hyperlink>
    </w:p>
    <w:p w:rsidR="00525D89" w:rsidRDefault="00C74B31">
      <w:pPr>
        <w:pStyle w:val="TOC1"/>
        <w:rPr>
          <w:rFonts w:asciiTheme="minorHAnsi" w:eastAsia="SimSun" w:hAnsiTheme="minorHAnsi"/>
          <w:color w:val="auto"/>
          <w:sz w:val="22"/>
          <w:szCs w:val="28"/>
          <w:lang w:val="en-US" w:eastAsia="zh-CN" w:bidi="th-TH"/>
        </w:rPr>
      </w:pPr>
      <w:hyperlink w:anchor="_Toc416105639" w:history="1">
        <w:r w:rsidR="00525D89" w:rsidRPr="00595900">
          <w:rPr>
            <w:rStyle w:val="Hyperlink"/>
          </w:rPr>
          <w:t>Appendice</w:t>
        </w:r>
        <w:r w:rsidR="00525D89">
          <w:rPr>
            <w:webHidden/>
          </w:rPr>
          <w:tab/>
        </w:r>
        <w:r w:rsidR="00525D89">
          <w:rPr>
            <w:webHidden/>
          </w:rPr>
          <w:fldChar w:fldCharType="begin"/>
        </w:r>
        <w:r w:rsidR="00525D89">
          <w:rPr>
            <w:webHidden/>
          </w:rPr>
          <w:instrText xml:space="preserve"> PAGEREF _Toc416105639 \h </w:instrText>
        </w:r>
        <w:r w:rsidR="00525D89">
          <w:rPr>
            <w:webHidden/>
          </w:rPr>
        </w:r>
        <w:r w:rsidR="00525D89">
          <w:rPr>
            <w:webHidden/>
          </w:rPr>
          <w:fldChar w:fldCharType="separate"/>
        </w:r>
        <w:r w:rsidR="00F73DC0">
          <w:rPr>
            <w:webHidden/>
          </w:rPr>
          <w:t>20</w:t>
        </w:r>
        <w:r w:rsidR="00525D89">
          <w:rPr>
            <w:webHidden/>
          </w:rPr>
          <w:fldChar w:fldCharType="end"/>
        </w:r>
      </w:hyperlink>
    </w:p>
    <w:p w:rsidR="00525D89" w:rsidRDefault="00C74B31">
      <w:pPr>
        <w:pStyle w:val="TOC1"/>
        <w:rPr>
          <w:rFonts w:asciiTheme="minorHAnsi" w:eastAsia="SimSun" w:hAnsiTheme="minorHAnsi"/>
          <w:color w:val="auto"/>
          <w:sz w:val="22"/>
          <w:szCs w:val="28"/>
          <w:lang w:val="en-US" w:eastAsia="zh-CN" w:bidi="th-TH"/>
        </w:rPr>
      </w:pPr>
      <w:hyperlink w:anchor="_Toc416105640" w:history="1">
        <w:r w:rsidR="00525D89" w:rsidRPr="00595900">
          <w:rPr>
            <w:rStyle w:val="Hyperlink"/>
            <w:rFonts w:asciiTheme="majorHAnsi" w:eastAsiaTheme="majorEastAsia" w:hAnsiTheme="majorHAnsi" w:cstheme="majorBidi"/>
            <w:bCs/>
          </w:rPr>
          <w:t>Definizione di R</w:t>
        </w:r>
        <w:r w:rsidR="00525D89" w:rsidRPr="00595900">
          <w:rPr>
            <w:rStyle w:val="Hyperlink"/>
            <w:rFonts w:asciiTheme="majorHAnsi" w:eastAsiaTheme="majorEastAsia" w:hAnsiTheme="majorHAnsi" w:cstheme="majorBidi"/>
          </w:rPr>
          <w:t>egioni</w:t>
        </w:r>
        <w:r w:rsidR="00525D89">
          <w:rPr>
            <w:webHidden/>
          </w:rPr>
          <w:tab/>
        </w:r>
        <w:r w:rsidR="00525D89">
          <w:rPr>
            <w:webHidden/>
          </w:rPr>
          <w:fldChar w:fldCharType="begin"/>
        </w:r>
        <w:r w:rsidR="00525D89">
          <w:rPr>
            <w:webHidden/>
          </w:rPr>
          <w:instrText xml:space="preserve"> PAGEREF _Toc416105640 \h </w:instrText>
        </w:r>
        <w:r w:rsidR="00525D89">
          <w:rPr>
            <w:webHidden/>
          </w:rPr>
        </w:r>
        <w:r w:rsidR="00525D89">
          <w:rPr>
            <w:webHidden/>
          </w:rPr>
          <w:fldChar w:fldCharType="separate"/>
        </w:r>
        <w:r w:rsidR="00F73DC0">
          <w:rPr>
            <w:webHidden/>
          </w:rPr>
          <w:t>20</w:t>
        </w:r>
        <w:r w:rsidR="00525D89">
          <w:rPr>
            <w:webHidden/>
          </w:rPr>
          <w:fldChar w:fldCharType="end"/>
        </w:r>
      </w:hyperlink>
    </w:p>
    <w:p w:rsidR="00BC6802" w:rsidRPr="00CA772A" w:rsidRDefault="0037779D" w:rsidP="002123CF">
      <w:pPr>
        <w:pStyle w:val="BodyText"/>
      </w:pPr>
      <w:r>
        <w:fldChar w:fldCharType="end"/>
      </w:r>
    </w:p>
    <w:p w:rsidR="00BC6802" w:rsidRPr="00CA772A" w:rsidRDefault="00BC6802" w:rsidP="00CC6A48">
      <w:pPr>
        <w:pStyle w:val="Hdg1noborder"/>
      </w:pPr>
      <w:bookmarkStart w:id="1" w:name="_Toc403380293"/>
      <w:bookmarkStart w:id="2" w:name="_Toc416105604"/>
      <w:r>
        <w:t>Scopo del Documento e Risorse</w:t>
      </w:r>
      <w:bookmarkEnd w:id="1"/>
      <w:bookmarkEnd w:id="2"/>
    </w:p>
    <w:p w:rsidR="0038541A" w:rsidRPr="00CA772A" w:rsidRDefault="00BC6802" w:rsidP="0038541A">
      <w:pPr>
        <w:pStyle w:val="BodyText"/>
      </w:pPr>
      <w:r>
        <w:t>Il presente Manuale delle Licenze fornisce alle società in possesso del Contratto per i Prodotti e i Servizi Microsoft (MPSA) informazioni sul supporto che riguardano la struttura dell</w:t>
      </w:r>
      <w:r w:rsidR="00D1524D">
        <w:t>’</w:t>
      </w:r>
      <w:r>
        <w:t>account, le procedure d</w:t>
      </w:r>
      <w:r w:rsidR="00D1524D">
        <w:t>’</w:t>
      </w:r>
      <w:r>
        <w:t>ordine, i prezzi, Software Assurance, i Vantaggi di Software Assurance e altre condizioni.</w:t>
      </w:r>
      <w:r w:rsidR="00F659C4">
        <w:t xml:space="preserve"> </w:t>
      </w:r>
      <w:r>
        <w:t>Tutti i termini in maiuscolo utilizzati, ma non definiti, nel presente Manuale delle Licenze avranno lo stesso significato attribuito loro nel Contratto MPSA.</w:t>
      </w:r>
    </w:p>
    <w:p w:rsidR="00BC6802" w:rsidRPr="00CA772A" w:rsidRDefault="00BC6802" w:rsidP="0038541A">
      <w:pPr>
        <w:pStyle w:val="BodyText"/>
      </w:pPr>
      <w:r>
        <w:t>Una panoramica generale del Contratto MPSA è disponibile nel manuale delle licenze all</w:t>
      </w:r>
      <w:r w:rsidR="00D1524D">
        <w:t>’</w:t>
      </w:r>
      <w:r>
        <w:t xml:space="preserve">indirizzo </w:t>
      </w:r>
      <w:hyperlink r:id="rId12" w:history="1">
        <w:r>
          <w:rPr>
            <w:rStyle w:val="Hyperlink"/>
          </w:rPr>
          <w:t>http://www.microsoft.com/licensing/mpsa/</w:t>
        </w:r>
      </w:hyperlink>
      <w:r w:rsidRPr="00B4335D">
        <w:t>.</w:t>
      </w:r>
      <w:r w:rsidRPr="008C655B">
        <w:rPr>
          <w:rStyle w:val="Hyperlink"/>
          <w:color w:val="auto"/>
        </w:rPr>
        <w:t xml:space="preserve"> </w:t>
      </w:r>
    </w:p>
    <w:p w:rsidR="00BC6802" w:rsidRPr="00CA772A" w:rsidRDefault="00BC6802" w:rsidP="00BC6802">
      <w:pPr>
        <w:pStyle w:val="BodyText"/>
      </w:pPr>
      <w:r>
        <w:t>L</w:t>
      </w:r>
      <w:r w:rsidR="00D1524D">
        <w:t>’</w:t>
      </w:r>
      <w:r>
        <w:t>ultima versione del presente documento, i dettagli riguardanti i diritti sull</w:t>
      </w:r>
      <w:r w:rsidR="00D1524D">
        <w:t>’</w:t>
      </w:r>
      <w:r>
        <w:t>utilizzo e la lista dei prodotti sono disponibili all</w:t>
      </w:r>
      <w:r w:rsidR="00D1524D">
        <w:t>’</w:t>
      </w:r>
      <w:r>
        <w:t xml:space="preserve">indirizzo </w:t>
      </w:r>
      <w:hyperlink r:id="rId13" w:history="1">
        <w:r>
          <w:rPr>
            <w:rStyle w:val="Hyperlink"/>
          </w:rPr>
          <w:t>http://www.microsoft.com/licensing/contracts</w:t>
        </w:r>
      </w:hyperlink>
      <w:r w:rsidRPr="00B4335D">
        <w:t>.</w:t>
      </w:r>
      <w:r w:rsidRPr="008C655B">
        <w:rPr>
          <w:color w:val="auto"/>
        </w:rPr>
        <w:t xml:space="preserve"> </w:t>
      </w:r>
    </w:p>
    <w:p w:rsidR="00BE480E" w:rsidRPr="00CA772A" w:rsidRDefault="00BE480E">
      <w:pPr>
        <w:spacing w:line="240" w:lineRule="auto"/>
      </w:pPr>
      <w:r>
        <w:br w:type="page"/>
      </w:r>
    </w:p>
    <w:p w:rsidR="00BC6802" w:rsidRPr="00CA772A" w:rsidRDefault="00BC6802" w:rsidP="002123CF">
      <w:pPr>
        <w:pStyle w:val="Hdg1noborder"/>
        <w:spacing w:before="120" w:after="0"/>
      </w:pPr>
      <w:bookmarkStart w:id="3" w:name="_Toc403380294"/>
      <w:bookmarkStart w:id="4" w:name="_Toc416105605"/>
      <w:r>
        <w:lastRenderedPageBreak/>
        <w:t>Articolo 1</w:t>
      </w:r>
      <w:bookmarkEnd w:id="3"/>
      <w:bookmarkEnd w:id="4"/>
    </w:p>
    <w:p w:rsidR="003B5822" w:rsidRPr="00CA772A" w:rsidRDefault="00EC190C" w:rsidP="002123CF">
      <w:pPr>
        <w:pStyle w:val="Hdg1noborder"/>
        <w:spacing w:before="120" w:after="120" w:line="240" w:lineRule="auto"/>
        <w:rPr>
          <w:rFonts w:eastAsiaTheme="majorEastAsia"/>
        </w:rPr>
      </w:pPr>
      <w:bookmarkStart w:id="5" w:name="_Toc403380295"/>
      <w:bookmarkStart w:id="6" w:name="_Toc416105606"/>
      <w:r>
        <w:rPr>
          <w:rFonts w:asciiTheme="majorHAnsi" w:eastAsiaTheme="majorEastAsia" w:hAnsiTheme="majorHAnsi" w:cstheme="majorBidi"/>
          <w:bCs/>
          <w:color w:val="8064A2" w:themeColor="accent4"/>
          <w:sz w:val="28"/>
          <w:szCs w:val="26"/>
        </w:rPr>
        <w:t>Contratto per i Prodotti e i Servizi Microsoft</w:t>
      </w:r>
      <w:bookmarkEnd w:id="5"/>
      <w:bookmarkEnd w:id="6"/>
    </w:p>
    <w:p w:rsidR="00EE5D60" w:rsidRPr="00CA772A" w:rsidRDefault="00FD4C65" w:rsidP="00CC6A48">
      <w:pPr>
        <w:pStyle w:val="Thirdheading"/>
      </w:pPr>
      <w:r>
        <w:rPr>
          <w:b/>
        </w:rPr>
        <w:t>Struttura dell</w:t>
      </w:r>
      <w:r w:rsidR="00D1524D">
        <w:rPr>
          <w:b/>
        </w:rPr>
        <w:t>’</w:t>
      </w:r>
      <w:r>
        <w:rPr>
          <w:b/>
        </w:rPr>
        <w:t>account</w:t>
      </w:r>
    </w:p>
    <w:p w:rsidR="00A562E4" w:rsidRPr="00CA772A" w:rsidRDefault="00A562E4" w:rsidP="00A562E4">
      <w:pPr>
        <w:pStyle w:val="BodyText"/>
      </w:pPr>
      <w:r>
        <w:t>Il Contratto per i Prodotti e i Servizi Microsoft offre alla società la flessibilità di definire la struttura desiderata per gli acquisti di Contratti Multilicenza tramite gli Account per gli Acquisti. Un Account per gli Acquisti è una qualsiasi unità all’interno dell’organizzazione che la società desidera abilitare all’acquisto di Prodotti, sia Software che Servizi Online. Gli Account per gli Acquisti della società sono associati al suo Contratto MPSA tramite la persona giuridica indicata dalla società nel modulo di registrazione dell’Account per gli Acquisti.</w:t>
      </w:r>
    </w:p>
    <w:p w:rsidR="00986457" w:rsidRPr="00CA772A" w:rsidRDefault="00986457" w:rsidP="002B4822">
      <w:pPr>
        <w:pStyle w:val="BodyText"/>
      </w:pPr>
      <w:r>
        <w:t xml:space="preserve">Esistono tre tipi di Account per gli Acquisti supportati per tipi diversi di Società: Commerciale, degli Enti Pubblici e degli Istituti Didattici. </w:t>
      </w:r>
    </w:p>
    <w:p w:rsidR="002B4822" w:rsidRPr="00CA772A" w:rsidRDefault="002B4822" w:rsidP="002B4822">
      <w:pPr>
        <w:pStyle w:val="BodyText"/>
      </w:pPr>
      <w:r>
        <w:t>La struttura flessibile degli Account per gli Acquisti consente alla società di definire e ridefinire la configurazione degli acquisti della propria organizzazione in base alle esigenze aziendali. Gli account possono essere definiti a livello di organizzazione, consociata, reparto o anche semplicemente per un sottoinsieme del personale.</w:t>
      </w:r>
    </w:p>
    <w:p w:rsidR="00A562E4" w:rsidRPr="00CA772A" w:rsidRDefault="00A562E4" w:rsidP="001E2401">
      <w:pPr>
        <w:pStyle w:val="BodyText"/>
      </w:pPr>
      <w:r>
        <w:t xml:space="preserve">Il primo passo consiste nel decidere in che modo l’organizzazione vuole acquistare Prodotti, Software e Servizi Online. Ciò consentirà alla società di gestire la struttura preposta agli acquisti da parte della società di transazioni di Contratti Multilicenza. </w:t>
      </w:r>
    </w:p>
    <w:p w:rsidR="00A562E4" w:rsidRPr="00CA772A" w:rsidRDefault="00A562E4" w:rsidP="00A562E4">
      <w:pPr>
        <w:pStyle w:val="BodyText"/>
      </w:pPr>
      <w:r>
        <w:t xml:space="preserve">Ad esempio, qualora la società decida di gestire gli acquisti a livello centrale, potrà registrare un Account per gli Acquisti: </w:t>
      </w:r>
    </w:p>
    <w:tbl>
      <w:tblPr>
        <w:tblStyle w:val="MediumShading1-Accent4"/>
        <w:tblW w:w="0" w:type="auto"/>
        <w:tblInd w:w="108" w:type="dxa"/>
        <w:tblLook w:val="04A0" w:firstRow="1" w:lastRow="0" w:firstColumn="1" w:lastColumn="0" w:noHBand="0" w:noVBand="1"/>
      </w:tblPr>
      <w:tblGrid>
        <w:gridCol w:w="67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ACCOUNT PER GLI ACQUISTI</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A562E4" w:rsidRPr="00CA772A" w:rsidRDefault="00A562E4" w:rsidP="00A562E4">
      <w:pPr>
        <w:pStyle w:val="BodyText"/>
        <w:spacing w:before="240"/>
      </w:pPr>
      <w:r>
        <w:t xml:space="preserve">In alternativa, qualora la società desideri avere un approccio più decentralizzato, potrà registrare più Account per gli Acquisti e disporre di tipi diversi di Account per gli Acquisti con un singolo Contratto MPSA: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678BC" w:rsidRPr="00CA772A" w:rsidRDefault="002678BC" w:rsidP="00E77ED7">
            <w:pPr>
              <w:pStyle w:val="BodyText"/>
              <w:spacing w:after="0" w:line="240" w:lineRule="auto"/>
              <w:jc w:val="center"/>
            </w:pPr>
            <w:r>
              <w:rPr>
                <w:color w:val="FFFFFF" w:themeColor="background1"/>
                <w:sz w:val="16"/>
              </w:rPr>
              <w:t>ACCOUNT PER GLI ACQUISTI 1</w:t>
            </w:r>
          </w:p>
          <w:p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Istituti Didattici</w:t>
            </w:r>
          </w:p>
        </w:tc>
        <w:tc>
          <w:tcPr>
            <w:tcW w:w="2250" w:type="dxa"/>
            <w:vAlign w:val="center"/>
          </w:tcPr>
          <w:p w:rsidR="002678BC" w:rsidRPr="00CA772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ACCOUNT PER GLI ACQUISTI 2</w:t>
            </w:r>
          </w:p>
          <w:p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Commerciale</w:t>
            </w:r>
          </w:p>
        </w:tc>
        <w:tc>
          <w:tcPr>
            <w:tcW w:w="2250" w:type="dxa"/>
            <w:vAlign w:val="center"/>
          </w:tcPr>
          <w:p w:rsidR="00E77ED7" w:rsidRPr="00CA772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ACCOUNT PER GLI ACQUISTI 3</w:t>
            </w:r>
          </w:p>
          <w:p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Commerciale</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C6347" w:rsidRPr="00CA772A" w:rsidRDefault="002C6347" w:rsidP="007B0011">
            <w:pPr>
              <w:pStyle w:val="BodyText"/>
              <w:spacing w:after="0" w:line="240" w:lineRule="auto"/>
              <w:jc w:val="center"/>
            </w:pPr>
            <w:r>
              <w:rPr>
                <w:color w:val="FFFFFF" w:themeColor="background1"/>
                <w:sz w:val="16"/>
              </w:rPr>
              <w:t>ACCOUNT PER GLI ACQUISTI 1</w:t>
            </w:r>
          </w:p>
          <w:p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Commerciale</w:t>
            </w:r>
          </w:p>
        </w:tc>
        <w:tc>
          <w:tcPr>
            <w:tcW w:w="2250" w:type="dxa"/>
            <w:vAlign w:val="center"/>
          </w:tcPr>
          <w:p w:rsidR="002C6347" w:rsidRPr="00CA772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ACCOUNT PER GLI ACQUISTI 2</w:t>
            </w:r>
          </w:p>
          <w:p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Commerciale</w:t>
            </w:r>
          </w:p>
        </w:tc>
        <w:tc>
          <w:tcPr>
            <w:tcW w:w="2250" w:type="dxa"/>
            <w:vAlign w:val="center"/>
          </w:tcPr>
          <w:p w:rsidR="002C6347" w:rsidRPr="00CA772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ACCOUNT PER GLI ACQUISTI 3</w:t>
            </w:r>
          </w:p>
          <w:p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Commerciale</w:t>
            </w:r>
          </w:p>
        </w:tc>
      </w:tr>
      <w:tr w:rsidR="002C6347" w:rsidRPr="004105EA"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rsidR="001660CB" w:rsidRPr="00CA772A" w:rsidRDefault="001660CB" w:rsidP="00CC6A48">
      <w:pPr>
        <w:pStyle w:val="Thirdheading"/>
      </w:pPr>
    </w:p>
    <w:p w:rsidR="000F6294" w:rsidRPr="00CA772A" w:rsidRDefault="000F6294" w:rsidP="00CC6A48">
      <w:pPr>
        <w:pStyle w:val="Thirdheading"/>
      </w:pPr>
      <w:r>
        <w:rPr>
          <w:b/>
        </w:rPr>
        <w:t>Mese di ricorrenza dell</w:t>
      </w:r>
      <w:r w:rsidR="00D1524D">
        <w:rPr>
          <w:b/>
        </w:rPr>
        <w:t>’</w:t>
      </w:r>
      <w:r>
        <w:rPr>
          <w:b/>
        </w:rPr>
        <w:t>Account per gli Acquisti</w:t>
      </w:r>
    </w:p>
    <w:p w:rsidR="00A562E4" w:rsidRPr="00CA772A" w:rsidRDefault="00A562E4" w:rsidP="00A562E4">
      <w:pPr>
        <w:pStyle w:val="BodyText"/>
      </w:pPr>
      <w:r>
        <w:t xml:space="preserve">Quando la società effettua la registrazione di ciascun Account per gli Acquisti, viene scelto un mese specifico rispetto al quale allineare gli acquisti che hanno termini di scadenza della sottoscrizione allo scopo di avere una ricorrenza unica e coerente per i rinnovi. Ad esempio, nel caso in cui uno degli account della società scelga gennaio come suo mese di ricorrenza, qualsiasi acquisto di Servizi Online effettuato nell’account si allineerà a quel mese, stabilendo in tal modo che i rinnovi dei Servizi Online avranno luogo ogni anno a gennaio. Tale designazione può essere cambiata successivamente in base alle esigenze dell’organizzazione tramite il Microsoft Volume Licensing Center (MVLC). </w:t>
      </w:r>
    </w:p>
    <w:p w:rsidR="00A562E4" w:rsidRPr="00CA772A" w:rsidRDefault="00A562E4" w:rsidP="00A562E4">
      <w:pPr>
        <w:pStyle w:val="BodyText"/>
      </w:pPr>
      <w:r>
        <w:t xml:space="preserve">Per quanto riguarda gli Account per gli Acquisti degli Enti Pubblici e degli Istituti Didattici, è possibile specificare una data di scadenza degli acquisti. Quando è selezionata questa opzione, i periodi di validità delle sottoscrizioni non si estenderanno oltre tale data. È possibile prorogare questa data di scadenza, se necessario. </w:t>
      </w:r>
    </w:p>
    <w:p w:rsidR="00351635" w:rsidRPr="00CA772A" w:rsidRDefault="00351635" w:rsidP="000F6294">
      <w:pPr>
        <w:pStyle w:val="BodyText"/>
      </w:pPr>
    </w:p>
    <w:p w:rsidR="00EE5D60" w:rsidRPr="00CA772A" w:rsidRDefault="00EE5D60" w:rsidP="00CC6A48">
      <w:pPr>
        <w:pStyle w:val="Thirdheading"/>
      </w:pPr>
      <w:r>
        <w:rPr>
          <w:b/>
        </w:rPr>
        <w:lastRenderedPageBreak/>
        <w:t>L</w:t>
      </w:r>
      <w:r w:rsidR="00D1524D">
        <w:rPr>
          <w:b/>
        </w:rPr>
        <w:t>’</w:t>
      </w:r>
      <w:r>
        <w:rPr>
          <w:b/>
        </w:rPr>
        <w:t>Amministratore del Contratto</w:t>
      </w:r>
    </w:p>
    <w:p w:rsidR="00A562E4" w:rsidRPr="00CA772A" w:rsidRDefault="00A562E4" w:rsidP="00A562E4">
      <w:pPr>
        <w:pStyle w:val="BodyText"/>
      </w:pPr>
      <w:r>
        <w:t>Un Account per gli Acquisti è designato come Amministratore del Contratto per ogni Contratto MPSA. Ciò offre alla società una visione consolidata di tutte le risorse all’interno della sua organizzazione e un’unica base comoda per la gestione di tutti gli Account per gli Acquisti. All’Account dell’Amministratore del Contratto:</w:t>
      </w:r>
    </w:p>
    <w:p w:rsidR="00A562E4" w:rsidRPr="00CA772A" w:rsidRDefault="00A562E4" w:rsidP="00A562E4">
      <w:pPr>
        <w:pStyle w:val="BodyText"/>
        <w:numPr>
          <w:ilvl w:val="0"/>
          <w:numId w:val="16"/>
        </w:numPr>
        <w:spacing w:after="0"/>
      </w:pPr>
      <w:r>
        <w:t>Viene fornita una visione completa delle risorse di tutti gli Account per gli Acquisti.</w:t>
      </w:r>
    </w:p>
    <w:p w:rsidR="00A562E4" w:rsidRPr="00CA772A" w:rsidRDefault="00A562E4" w:rsidP="00A562E4">
      <w:pPr>
        <w:pStyle w:val="BodyText"/>
        <w:numPr>
          <w:ilvl w:val="0"/>
          <w:numId w:val="16"/>
        </w:numPr>
        <w:spacing w:after="0"/>
      </w:pPr>
      <w:r>
        <w:t>Viene comunicato quando un Account per gli Acquisti è associato a un Contratto MPSA.</w:t>
      </w:r>
    </w:p>
    <w:p w:rsidR="00A562E4" w:rsidRPr="00CA772A" w:rsidRDefault="00A562E4" w:rsidP="00A562E4">
      <w:pPr>
        <w:pStyle w:val="BodyText"/>
        <w:numPr>
          <w:ilvl w:val="0"/>
          <w:numId w:val="16"/>
        </w:numPr>
        <w:spacing w:after="0"/>
      </w:pPr>
      <w:r>
        <w:t>È concesso il diritto di porre termine all’associazione di qualsiasi Account per gli Acquisti al Contratto MPSA.</w:t>
      </w:r>
    </w:p>
    <w:p w:rsidR="00A562E4" w:rsidRPr="00CA772A" w:rsidRDefault="00A562E4" w:rsidP="00A562E4">
      <w:pPr>
        <w:pStyle w:val="BodyText"/>
        <w:numPr>
          <w:ilvl w:val="0"/>
          <w:numId w:val="16"/>
        </w:numPr>
        <w:spacing w:after="0"/>
      </w:pPr>
      <w:r>
        <w:t>È concesso il diritto di porre termine al Contratto MPSA stesso.</w:t>
      </w:r>
    </w:p>
    <w:p w:rsidR="00A562E4" w:rsidRPr="00CA772A" w:rsidRDefault="00A562E4" w:rsidP="00A562E4">
      <w:pPr>
        <w:pStyle w:val="BodyText"/>
        <w:numPr>
          <w:ilvl w:val="0"/>
          <w:numId w:val="16"/>
        </w:numPr>
        <w:spacing w:after="0"/>
      </w:pPr>
      <w:r>
        <w:t xml:space="preserve">Non è consentito ordinare per altri Account per gli Acquisti o gestire le relative risorse. </w:t>
      </w:r>
    </w:p>
    <w:p w:rsidR="00A562E4" w:rsidRPr="00CA772A" w:rsidRDefault="00A562E4" w:rsidP="00A562E4">
      <w:pPr>
        <w:pStyle w:val="BodyText"/>
        <w:numPr>
          <w:ilvl w:val="0"/>
          <w:numId w:val="16"/>
        </w:numPr>
        <w:spacing w:after="0"/>
      </w:pPr>
      <w:r>
        <w:t>La Società (persona giuridica) dell’Amministratore del Contratto viene utilizzata per la definizione di Consociata.</w:t>
      </w:r>
    </w:p>
    <w:p w:rsidR="00BA0D95" w:rsidRPr="00CA772A" w:rsidRDefault="00BA0D95" w:rsidP="002123CF">
      <w:pPr>
        <w:pStyle w:val="Thirdheading"/>
        <w:spacing w:line="240" w:lineRule="auto"/>
      </w:pPr>
      <w:r>
        <w:rPr>
          <w:b/>
        </w:rPr>
        <w:t>Partner</w:t>
      </w:r>
    </w:p>
    <w:p w:rsidR="00A61B6D" w:rsidRPr="00CA772A" w:rsidRDefault="00BA0D95" w:rsidP="00A61B6D">
      <w:pPr>
        <w:pStyle w:val="BodyText"/>
        <w:spacing w:after="0"/>
      </w:pPr>
      <w:r>
        <w:t>Gli acquisti tramite il Contratto MPSA vengono effettuati attraverso i Licensing Solution Partner (LSPs). Ogni Account per gli Acquisti sceglie un particolare LSP che collaborerà con la società per registrare gli Account per gli Acquisti e creare il contratto in formato elettronico con firma elettronica</w:t>
      </w:r>
      <w:r w:rsidR="0092145A">
        <w:rPr>
          <w:rStyle w:val="FootnoteReference"/>
        </w:rPr>
        <w:footnoteReference w:id="2"/>
      </w:r>
      <w:r>
        <w:t>. Nel tempo la società potrà aggiungere ai propri account gli LSP che riterrà necessari per gli acquisti transazionali.</w:t>
      </w:r>
      <w:r w:rsidR="00F659C4">
        <w:t xml:space="preserve"> </w:t>
      </w:r>
      <w:r>
        <w:t xml:space="preserve">Per ulteriori informazioni sulle sedi dei partner nel mondo, la società potrà visitare la pagina </w:t>
      </w:r>
      <w:hyperlink r:id="rId14" w:history="1">
        <w:r>
          <w:rPr>
            <w:rStyle w:val="Hyperlink"/>
          </w:rPr>
          <w:t>http://pinpoint.microsoft.com</w:t>
        </w:r>
      </w:hyperlink>
      <w:r w:rsidRPr="007D60B3">
        <w:rPr>
          <w:color w:val="auto"/>
        </w:rPr>
        <w:t>.</w:t>
      </w:r>
      <w:r w:rsidR="00A61B6D">
        <w:rPr>
          <w:color w:val="FF0000"/>
        </w:rPr>
        <w:t xml:space="preserve"> </w:t>
      </w:r>
    </w:p>
    <w:p w:rsidR="00E66243" w:rsidRPr="00CA772A" w:rsidRDefault="00E66243" w:rsidP="00CC6A48">
      <w:pPr>
        <w:pStyle w:val="Hdg1noborder"/>
        <w:spacing w:before="240"/>
        <w:rPr>
          <w:rFonts w:eastAsiaTheme="majorEastAsia"/>
        </w:rPr>
      </w:pPr>
      <w:bookmarkStart w:id="7" w:name="_Toc403380296"/>
      <w:bookmarkStart w:id="8" w:name="_Toc416105607"/>
      <w:r>
        <w:rPr>
          <w:rFonts w:asciiTheme="majorHAnsi" w:eastAsiaTheme="majorEastAsia" w:hAnsiTheme="majorHAnsi" w:cstheme="majorBidi"/>
          <w:bCs/>
          <w:color w:val="8064A2" w:themeColor="accent4"/>
          <w:sz w:val="28"/>
          <w:szCs w:val="26"/>
        </w:rPr>
        <w:t>Struttura del contratto</w:t>
      </w:r>
      <w:bookmarkEnd w:id="7"/>
      <w:bookmarkEnd w:id="8"/>
    </w:p>
    <w:p w:rsidR="004C3E0D" w:rsidRPr="00CA772A" w:rsidRDefault="00185211" w:rsidP="00E66243">
      <w:pPr>
        <w:pStyle w:val="BodyText"/>
      </w:pPr>
      <w:r>
        <w:t xml:space="preserve">Per adattarsi meglio alla struttura organizzativa della società, le condizioni del Contratto MPSA sono composte dai seguenti Articoli: </w:t>
      </w:r>
    </w:p>
    <w:p w:rsidR="00A562E4" w:rsidRPr="00CA772A" w:rsidRDefault="00A562E4" w:rsidP="00A562E4">
      <w:pPr>
        <w:pStyle w:val="BodyText"/>
        <w:numPr>
          <w:ilvl w:val="0"/>
          <w:numId w:val="48"/>
        </w:numPr>
      </w:pPr>
      <w:r>
        <w:t>Condizioni Generali: si applicano a tutti i tipi di Società nel mondo.</w:t>
      </w:r>
    </w:p>
    <w:p w:rsidR="00A562E4" w:rsidRPr="00CA772A" w:rsidRDefault="00A562E4" w:rsidP="00A562E4">
      <w:pPr>
        <w:pStyle w:val="BodyText"/>
        <w:numPr>
          <w:ilvl w:val="0"/>
          <w:numId w:val="48"/>
        </w:numPr>
      </w:pPr>
      <w:r>
        <w:t>Servizi Professionali: condizioni per i servizi di supporto e consulenza Microsoft nel mondo.</w:t>
      </w:r>
    </w:p>
    <w:p w:rsidR="00A562E4" w:rsidRPr="00CA772A" w:rsidRDefault="00A562E4" w:rsidP="00A562E4">
      <w:pPr>
        <w:pStyle w:val="BodyText"/>
        <w:numPr>
          <w:ilvl w:val="0"/>
          <w:numId w:val="48"/>
        </w:numPr>
      </w:pPr>
      <w:r>
        <w:t>Condizioni per i Tipi di Account per gli Acquisti: quando la società effettua la registrazione di un Account per gli Acquisti degli Enti Pubblici o degli Istituti Didattici, si applicano queste specifiche condizioni.</w:t>
      </w:r>
    </w:p>
    <w:p w:rsidR="00A562E4" w:rsidRPr="00CA772A" w:rsidRDefault="00A562E4" w:rsidP="00A562E4">
      <w:pPr>
        <w:pStyle w:val="BodyText"/>
        <w:numPr>
          <w:ilvl w:val="0"/>
          <w:numId w:val="48"/>
        </w:numPr>
      </w:pPr>
      <w:r>
        <w:t>Condizioni del paese per i Tipi di Account per gli Acquisti: per gli Enti Pubblici e gli Istituti Didattici di alcuni paesi si applicano condizioni aggiuntive.</w:t>
      </w:r>
    </w:p>
    <w:p w:rsidR="00E66243" w:rsidRPr="00CA772A" w:rsidRDefault="00E66243">
      <w:pPr>
        <w:pStyle w:val="BodyText"/>
      </w:pPr>
      <w:r>
        <w:t xml:space="preserve">Per qualificarsi come Account per gli Acquisti degli Enti Pubblici o degli Istituti Didattici, le organizzazioni dovranno soddisfare i requisiti di idoneità indicati alla pagina </w:t>
      </w:r>
      <w:hyperlink r:id="rId15" w:history="1">
        <w:r>
          <w:rPr>
            <w:rStyle w:val="Hyperlink"/>
          </w:rPr>
          <w:t>http://www.microsoftvolumelicensing.com/contracts</w:t>
        </w:r>
      </w:hyperlink>
      <w:r>
        <w:t>.</w:t>
      </w:r>
    </w:p>
    <w:p w:rsidR="00A562E4" w:rsidRPr="00CA772A" w:rsidRDefault="00A562E4" w:rsidP="00A562E4">
      <w:pPr>
        <w:pStyle w:val="Hdg1noborder"/>
        <w:spacing w:before="240"/>
        <w:rPr>
          <w:rFonts w:eastAsiaTheme="majorEastAsia"/>
        </w:rPr>
      </w:pPr>
      <w:bookmarkStart w:id="9" w:name="_Toc403380297"/>
      <w:bookmarkStart w:id="10" w:name="_Toc416105608"/>
      <w:r>
        <w:rPr>
          <w:rFonts w:asciiTheme="majorHAnsi" w:eastAsiaTheme="majorEastAsia" w:hAnsiTheme="majorHAnsi" w:cstheme="majorBidi"/>
          <w:bCs/>
          <w:color w:val="8064A2" w:themeColor="accent4"/>
          <w:sz w:val="28"/>
          <w:szCs w:val="26"/>
        </w:rPr>
        <w:t xml:space="preserve">Acquisti </w:t>
      </w:r>
      <w:bookmarkEnd w:id="9"/>
      <w:bookmarkEnd w:id="10"/>
    </w:p>
    <w:p w:rsidR="009D6481" w:rsidRPr="00CA772A" w:rsidRDefault="00FD50F2" w:rsidP="00CC6A48">
      <w:pPr>
        <w:pStyle w:val="Thirdheading"/>
      </w:pPr>
      <w:r>
        <w:rPr>
          <w:b/>
        </w:rPr>
        <w:t>Prodotti</w:t>
      </w:r>
    </w:p>
    <w:p w:rsidR="00A562E4" w:rsidRPr="00CA772A" w:rsidRDefault="00A562E4" w:rsidP="00A562E4">
      <w:pPr>
        <w:pStyle w:val="BodyText"/>
      </w:pPr>
      <w:r>
        <w:t xml:space="preserve">La società può ordinare Software e Servizi Online tramite un Contratto MPSA. Attualmente, la maggior parte dei prodotti Software </w:t>
      </w:r>
      <w:r>
        <w:br/>
        <w:t xml:space="preserve">è venduta anche tramite i contratti Select Plus, mentre i Prodotti Office 365, Intune, CRM Online e Yammer sono disponibili con il Contratto MPSA. Per una lista completa dei Prodotti disponibili attraverso il Contratto MPSA, la società potrà fare riferimento alla pagina </w:t>
      </w:r>
      <w:hyperlink r:id="rId16" w:history="1">
        <w:r>
          <w:rPr>
            <w:rStyle w:val="Hyperlink"/>
          </w:rPr>
          <w:t>http://www.microsoft.com/licensing/contracts</w:t>
        </w:r>
      </w:hyperlink>
      <w:r>
        <w:t xml:space="preserve">. </w:t>
      </w:r>
    </w:p>
    <w:p w:rsidR="009D6481" w:rsidRPr="00CA772A" w:rsidRDefault="00FD50F2" w:rsidP="00CC6A48">
      <w:pPr>
        <w:pStyle w:val="Thirdheading"/>
      </w:pPr>
      <w:r>
        <w:rPr>
          <w:b/>
        </w:rPr>
        <w:t>Accesso ai download e alle informazioni account</w:t>
      </w:r>
    </w:p>
    <w:p w:rsidR="00A562E4" w:rsidRPr="00CA772A" w:rsidRDefault="00A562E4" w:rsidP="00A562E4">
      <w:pPr>
        <w:pStyle w:val="BodyText"/>
      </w:pPr>
      <w:r>
        <w:t>Il Microsoft Volume Licensing Center (MVLC) è il portale disponibile per eseguire il download del Software, accedere ai codici Product Key, visualizzare il portafoglio di Licenze e Servizi della società ed erogare i Servizi Online. La società può accedere al portale MVLC all’indirizzo</w:t>
      </w:r>
      <w:r>
        <w:rPr>
          <w:color w:val="1F497D"/>
        </w:rPr>
        <w:t xml:space="preserve"> </w:t>
      </w:r>
      <w:hyperlink r:id="rId17" w:history="1">
        <w:r>
          <w:rPr>
            <w:rStyle w:val="Hyperlink"/>
          </w:rPr>
          <w:t>https://licensing.microsoft.com/customer/</w:t>
        </w:r>
      </w:hyperlink>
      <w:r w:rsidRPr="00A6721D">
        <w:t>.</w:t>
      </w:r>
    </w:p>
    <w:p w:rsidR="008E77D5" w:rsidRPr="00CA772A" w:rsidRDefault="0020545D" w:rsidP="00064F55">
      <w:pPr>
        <w:pStyle w:val="Thirdheading"/>
        <w:keepNext/>
      </w:pPr>
      <w:r>
        <w:rPr>
          <w:b/>
        </w:rPr>
        <w:lastRenderedPageBreak/>
        <w:t>Livelli di Prezzo</w:t>
      </w:r>
    </w:p>
    <w:p w:rsidR="00D17BBE" w:rsidRPr="00CA772A" w:rsidRDefault="009D5624" w:rsidP="00E30CB7">
      <w:pPr>
        <w:pStyle w:val="BodyText"/>
      </w:pPr>
      <w:r>
        <w:t>La società dovrà ottenere almeno 500 punti per pool all</w:t>
      </w:r>
      <w:r w:rsidR="00D1524D">
        <w:t>’</w:t>
      </w:r>
      <w:r>
        <w:t>anno per qualificarsi per l</w:t>
      </w:r>
      <w:r w:rsidR="00D1524D">
        <w:t>’</w:t>
      </w:r>
      <w:r>
        <w:t>acquisto dei prodotti di quel pool tramite il Contratto MPSA. In alternativa, potrà qualificarsi acquistando almeno 250 punti per i Servizi Online di quel pool o associando un contratto attivo qualificante (Iscrizione Enterprise, Iscrizione Enterprise Subscription, Contratto Select Plus) al Contratto MPSA.</w:t>
      </w:r>
    </w:p>
    <w:p w:rsidR="00A562E4" w:rsidRPr="00CA772A" w:rsidRDefault="00A562E4" w:rsidP="00A562E4">
      <w:pPr>
        <w:pStyle w:val="BodyText"/>
      </w:pPr>
      <w:r>
        <w:t xml:space="preserve">Le organizzazioni commerciali che registrano Account per gli Acquisti tramite un Contratto MPSA hanno a disposizione quattro livelli di prezzo per pool di prodotti come definiti di seguito. Per quanto riguarda gli Account per gli Acquisti Commerciali, i punti per ciascun livello di prezzo sono riportati nella tabella che segue.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A80953">
            <w:pPr>
              <w:pStyle w:val="VLTableHeader"/>
              <w:spacing w:before="0" w:after="0"/>
              <w:jc w:val="center"/>
              <w:rPr>
                <w:b/>
              </w:rPr>
            </w:pPr>
            <w:r>
              <w:rPr>
                <w:b/>
              </w:rPr>
              <w:t>Livello di Prezzo - Account Commerciale</w:t>
            </w:r>
          </w:p>
        </w:tc>
        <w:tc>
          <w:tcPr>
            <w:tcW w:w="2525" w:type="pct"/>
          </w:tcPr>
          <w:p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Punti Annuali Minimi per Pool</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A</w:t>
            </w:r>
          </w:p>
        </w:tc>
        <w:tc>
          <w:tcPr>
            <w:tcW w:w="2525" w:type="pct"/>
          </w:tcPr>
          <w:p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o 250 solo per OLS</w:t>
            </w:r>
          </w:p>
        </w:tc>
      </w:tr>
      <w:tr w:rsidR="00FB2B2F"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B</w:t>
            </w:r>
          </w:p>
        </w:tc>
        <w:tc>
          <w:tcPr>
            <w:tcW w:w="2525" w:type="pct"/>
          </w:tcPr>
          <w:p w:rsidR="00FB2B2F" w:rsidRPr="00B50681" w:rsidRDefault="00AD3A68" w:rsidP="006D44F4">
            <w:pPr>
              <w:pStyle w:val="VLBodyCopy2"/>
              <w:jc w:val="center"/>
              <w:cnfStyle w:val="000000010000" w:firstRow="0" w:lastRow="0" w:firstColumn="0" w:lastColumn="0" w:oddVBand="0" w:evenVBand="0" w:oddHBand="0" w:evenHBand="1" w:firstRowFirstColumn="0" w:firstRowLastColumn="0" w:lastRowFirstColumn="0" w:lastRowLastColumn="0"/>
            </w:pPr>
            <w:r>
              <w:t>4.</w:t>
            </w:r>
            <w:r w:rsidR="00FB2B2F">
              <w:t>000</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C</w:t>
            </w:r>
          </w:p>
        </w:tc>
        <w:tc>
          <w:tcPr>
            <w:tcW w:w="2525" w:type="pct"/>
          </w:tcPr>
          <w:p w:rsidR="00FB2B2F" w:rsidRPr="00B50681" w:rsidRDefault="00AD3A68" w:rsidP="006D44F4">
            <w:pPr>
              <w:pStyle w:val="VLBodyCopy2"/>
              <w:jc w:val="center"/>
              <w:cnfStyle w:val="000000100000" w:firstRow="0" w:lastRow="0" w:firstColumn="0" w:lastColumn="0" w:oddVBand="0" w:evenVBand="0" w:oddHBand="1" w:evenHBand="0" w:firstRowFirstColumn="0" w:firstRowLastColumn="0" w:lastRowFirstColumn="0" w:lastRowLastColumn="0"/>
            </w:pPr>
            <w:r>
              <w:t>10.</w:t>
            </w:r>
            <w:r w:rsidR="00FB2B2F">
              <w:t>000</w:t>
            </w:r>
          </w:p>
        </w:tc>
      </w:tr>
      <w:tr w:rsidR="00FB2B2F"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D</w:t>
            </w:r>
          </w:p>
        </w:tc>
        <w:tc>
          <w:tcPr>
            <w:tcW w:w="2525" w:type="pct"/>
          </w:tcPr>
          <w:p w:rsidR="00FB2B2F" w:rsidRPr="00B50681" w:rsidRDefault="00AD3A68" w:rsidP="006D44F4">
            <w:pPr>
              <w:pStyle w:val="VLBodyCopy2"/>
              <w:jc w:val="center"/>
              <w:cnfStyle w:val="000000010000" w:firstRow="0" w:lastRow="0" w:firstColumn="0" w:lastColumn="0" w:oddVBand="0" w:evenVBand="0" w:oddHBand="0" w:evenHBand="1" w:firstRowFirstColumn="0" w:firstRowLastColumn="0" w:lastRowFirstColumn="0" w:lastRowLastColumn="0"/>
            </w:pPr>
            <w:r>
              <w:t>25.</w:t>
            </w:r>
            <w:r w:rsidR="00FB2B2F">
              <w:t>000</w:t>
            </w:r>
          </w:p>
        </w:tc>
      </w:tr>
    </w:tbl>
    <w:p w:rsidR="00A562E4" w:rsidRPr="00CA772A" w:rsidRDefault="00A562E4" w:rsidP="00A562E4">
      <w:pPr>
        <w:pStyle w:val="BodyText"/>
      </w:pPr>
      <w:bookmarkStart w:id="11" w:name="_Toc364455186"/>
      <w:r>
        <w:t>Per impostazione predefinita, il livello di prezzo iniziale al momento della sottoscrizione è il livello A. L’organizzazione passerà automaticamente a un livello di prezzo migliore ogni qualvolta si verifichi uno dei seguenti eventi:</w:t>
      </w:r>
    </w:p>
    <w:p w:rsidR="00A562E4" w:rsidRPr="00CA772A" w:rsidRDefault="00A562E4" w:rsidP="00A562E4">
      <w:pPr>
        <w:pStyle w:val="BodyText"/>
        <w:numPr>
          <w:ilvl w:val="0"/>
          <w:numId w:val="16"/>
        </w:numPr>
        <w:spacing w:after="0"/>
      </w:pPr>
      <w:r>
        <w:t xml:space="preserve">La società effettua un ordine che le assegna un numero di punti sufficiente a farla avanzare al livello di prezzo successivo. </w:t>
      </w:r>
    </w:p>
    <w:p w:rsidR="00A562E4" w:rsidRPr="00CA772A" w:rsidRDefault="00A562E4" w:rsidP="00A562E4">
      <w:pPr>
        <w:pStyle w:val="BodyText"/>
        <w:numPr>
          <w:ilvl w:val="0"/>
          <w:numId w:val="16"/>
        </w:numPr>
        <w:spacing w:after="0"/>
      </w:pPr>
      <w:r>
        <w:t xml:space="preserve">La società è associata a un contratto qualificante attivo con un livello di prezzo per pool di prodotti migliore rispetto al corrispondente pool del Contratto MPSA. </w:t>
      </w:r>
    </w:p>
    <w:p w:rsidR="00D7507A" w:rsidRPr="00CA772A" w:rsidRDefault="00D7507A" w:rsidP="00D7507A">
      <w:pPr>
        <w:pStyle w:val="BodyText"/>
      </w:pPr>
    </w:p>
    <w:p w:rsidR="00D17BBE" w:rsidRPr="00CA772A" w:rsidRDefault="00D17BBE" w:rsidP="00D7507A">
      <w:pPr>
        <w:pStyle w:val="BodyText"/>
      </w:pPr>
      <w:r>
        <w:t xml:space="preserve">Gli Account per gli Acquisti degli Enti Pubblici e degli Istituti Didattici hanno un solo livello di prezzo che riflette il prezzo più vantaggioso che Microsoft può offrire tramite il Contratto MPSA (per gli Enti Pubblici equivale al prezzo di Livello D). </w:t>
      </w:r>
    </w:p>
    <w:p w:rsidR="00CE4C53" w:rsidRPr="00CA772A" w:rsidRDefault="0020545D" w:rsidP="00A80953">
      <w:pPr>
        <w:pStyle w:val="Thirdheading"/>
      </w:pPr>
      <w:r>
        <w:rPr>
          <w:b/>
        </w:rPr>
        <w:t>Punti</w:t>
      </w:r>
    </w:p>
    <w:p w:rsidR="00A562E4" w:rsidRPr="00CA772A" w:rsidRDefault="00A562E4" w:rsidP="00A562E4">
      <w:pPr>
        <w:pStyle w:val="BodyText"/>
      </w:pPr>
      <w:r>
        <w:t>Microsoft classifica i Prodotti in tre pool distinti</w:t>
      </w:r>
      <w:r>
        <w:rPr>
          <w:szCs w:val="22"/>
        </w:rPr>
        <w:t xml:space="preserve"> con livelli di prezzo diversi</w:t>
      </w:r>
      <w:r>
        <w:t xml:space="preserve">: Applicazioni, Sistemi e Server. Il livello di prezzo per ciascun pool si basa sui punti guadagnati dalla società a fronte degli acquisti effettuati in quei pool. I punti sono calcolati in modo cumulativo su tutti gli Account per gli Acquisti dello stesso tipo, ad esempio Commerciali. </w:t>
      </w:r>
    </w:p>
    <w:p w:rsidR="00A562E4" w:rsidRPr="00CA772A" w:rsidRDefault="00A562E4" w:rsidP="00A562E4">
      <w:pPr>
        <w:pStyle w:val="BodyText"/>
        <w:numPr>
          <w:ilvl w:val="0"/>
          <w:numId w:val="16"/>
        </w:numPr>
        <w:spacing w:after="0"/>
      </w:pPr>
      <w:r>
        <w:t xml:space="preserve">Applicazioni. Esempi di prodotti applicativi includono Microsoft Office Professional, il client Microsoft Lync e Office 365. </w:t>
      </w:r>
    </w:p>
    <w:p w:rsidR="00A562E4" w:rsidRPr="00CA772A" w:rsidRDefault="00A562E4" w:rsidP="00A562E4">
      <w:pPr>
        <w:pStyle w:val="BodyText"/>
        <w:numPr>
          <w:ilvl w:val="0"/>
          <w:numId w:val="16"/>
        </w:numPr>
        <w:spacing w:after="0"/>
      </w:pPr>
      <w:r>
        <w:t>Sistemi. Un esempio di prodotto di sistema è costituito dagli aggiornamenti del sistema operativo Windows, come Windows Professional.</w:t>
      </w:r>
    </w:p>
    <w:p w:rsidR="00A562E4" w:rsidRPr="00CA772A" w:rsidRDefault="00A562E4" w:rsidP="00A562E4">
      <w:pPr>
        <w:pStyle w:val="BodyText"/>
        <w:numPr>
          <w:ilvl w:val="0"/>
          <w:numId w:val="16"/>
        </w:numPr>
        <w:spacing w:after="0"/>
      </w:pPr>
      <w:r>
        <w:t>Server. Esempi di prodotti server sono Microsoft Exchange Server, il Software del database di Microsoft SQL Server, Intune e le Client Access License associate (CAL).</w:t>
      </w:r>
    </w:p>
    <w:p w:rsidR="00A80953" w:rsidRPr="00CA772A" w:rsidRDefault="00A80953" w:rsidP="00A80953">
      <w:pPr>
        <w:pStyle w:val="BodyText"/>
        <w:spacing w:after="0"/>
      </w:pPr>
    </w:p>
    <w:p w:rsidR="00CE4C53" w:rsidRPr="00CA772A" w:rsidRDefault="005B47F8" w:rsidP="0020545D">
      <w:pPr>
        <w:pStyle w:val="BodyText"/>
        <w:spacing w:after="0" w:line="240" w:lineRule="auto"/>
      </w:pPr>
      <w:r>
        <w:t>Esempio:</w:t>
      </w:r>
    </w:p>
    <w:tbl>
      <w:tblPr>
        <w:tblStyle w:val="LightList-Accent4"/>
        <w:tblW w:w="0" w:type="auto"/>
        <w:tblInd w:w="108"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rsidTr="001057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20545D" w:rsidRPr="0020545D" w:rsidRDefault="0020545D" w:rsidP="0020545D">
            <w:pPr>
              <w:pStyle w:val="BodyText"/>
              <w:spacing w:after="0" w:line="240" w:lineRule="auto"/>
              <w:rPr>
                <w:color w:val="FFFFFF" w:themeColor="background1"/>
              </w:rPr>
            </w:pPr>
            <w:r>
              <w:rPr>
                <w:color w:val="FFFFFF" w:themeColor="background1"/>
              </w:rPr>
              <w:t>Pool di Applicazioni</w:t>
            </w:r>
          </w:p>
        </w:tc>
        <w:tc>
          <w:tcPr>
            <w:tcW w:w="989"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Punti</w:t>
            </w:r>
          </w:p>
        </w:tc>
        <w:tc>
          <w:tcPr>
            <w:tcW w:w="2993"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Pool di Sistemi</w:t>
            </w:r>
          </w:p>
        </w:tc>
        <w:tc>
          <w:tcPr>
            <w:tcW w:w="8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Punti</w:t>
            </w:r>
          </w:p>
        </w:tc>
        <w:tc>
          <w:tcPr>
            <w:tcW w:w="26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Pool di Server</w:t>
            </w:r>
          </w:p>
        </w:tc>
        <w:tc>
          <w:tcPr>
            <w:tcW w:w="126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Punti</w:t>
            </w:r>
          </w:p>
        </w:tc>
      </w:tr>
      <w:tr w:rsidR="00D302A8" w:rsidTr="001057B2">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D302A8" w:rsidRDefault="00D302A8">
            <w:pPr>
              <w:pStyle w:val="BodyText"/>
              <w:spacing w:after="0" w:line="240" w:lineRule="auto"/>
            </w:pPr>
            <w:r>
              <w:rPr>
                <w:b w:val="0"/>
                <w:color w:val="58595B" w:themeColor="text1"/>
                <w:sz w:val="16"/>
              </w:rPr>
              <w:t>Office Professional</w:t>
            </w:r>
          </w:p>
        </w:tc>
        <w:tc>
          <w:tcPr>
            <w:tcW w:w="989" w:type="dxa"/>
            <w:vAlign w:val="center"/>
          </w:tcPr>
          <w:p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Professional Upgrade Edition</w:t>
            </w:r>
          </w:p>
        </w:tc>
        <w:tc>
          <w:tcPr>
            <w:tcW w:w="8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rsidTr="001057B2">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A80953" w:rsidRPr="0020545D" w:rsidRDefault="00A80953">
            <w:pPr>
              <w:pStyle w:val="BodyText"/>
              <w:spacing w:after="0" w:line="240" w:lineRule="auto"/>
              <w:rPr>
                <w:b w:val="0"/>
                <w:color w:val="58595B" w:themeColor="text1"/>
                <w:sz w:val="16"/>
              </w:rPr>
            </w:pPr>
            <w:r>
              <w:rPr>
                <w:b w:val="0"/>
                <w:color w:val="58595B" w:themeColor="text1"/>
                <w:sz w:val="16"/>
              </w:rPr>
              <w:t>O365 K1/E1/3/4</w:t>
            </w:r>
          </w:p>
        </w:tc>
        <w:tc>
          <w:tcPr>
            <w:tcW w:w="989" w:type="dxa"/>
            <w:vAlign w:val="center"/>
          </w:tcPr>
          <w:p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Windows Intune</w:t>
            </w:r>
          </w:p>
        </w:tc>
        <w:tc>
          <w:tcPr>
            <w:tcW w:w="126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rsidR="0020545D" w:rsidRPr="00CA772A" w:rsidRDefault="0020545D" w:rsidP="00372F76">
      <w:pPr>
        <w:pStyle w:val="BodyText"/>
        <w:spacing w:before="120"/>
      </w:pPr>
      <w:r>
        <w:rPr>
          <w:bCs/>
        </w:rPr>
        <w:t xml:space="preserve">Per ulteriori informazioni, incluso un elenco completo dei punti per Prodotto per le licenze, la società potrà visitare la pagina </w:t>
      </w:r>
      <w:hyperlink r:id="rId18" w:history="1">
        <w:r>
          <w:rPr>
            <w:rStyle w:val="Hyperlink"/>
          </w:rPr>
          <w:t>http://www.microsoft.com/licensing/contracts</w:t>
        </w:r>
      </w:hyperlink>
    </w:p>
    <w:bookmarkEnd w:id="11"/>
    <w:p w:rsidR="008E77D5" w:rsidRPr="00CA772A" w:rsidRDefault="008E77D5" w:rsidP="00CC6A48">
      <w:pPr>
        <w:pStyle w:val="Thirdheading"/>
      </w:pPr>
      <w:r>
        <w:rPr>
          <w:b/>
        </w:rPr>
        <w:t>Modifiche del livello di prezzo</w:t>
      </w:r>
    </w:p>
    <w:p w:rsidR="00A562E4" w:rsidRPr="00CA772A" w:rsidRDefault="00A562E4" w:rsidP="00A562E4">
      <w:pPr>
        <w:pStyle w:val="BodyText"/>
      </w:pPr>
      <w:bookmarkStart w:id="12" w:name="_Toc403380298"/>
      <w:bookmarkStart w:id="13" w:name="_Toc416105609"/>
      <w:r>
        <w:t>La società conseguirà il livello di prezzo successivo per un pool non appena la sua organizzazione avrà raggiunto la quantità di punti minima annuale corrispondente. L’ordine che qualifica la società per il successivo livello della soglia di sconto (ad esempio dal Livello A al Livello B) riceve lo sconto associato a tale livello successivo. I livelli di prezzo per ciascun pool di Prodotti vengono rivisti ogni anno nel mese di ricorrenza della conformità al contratto, mese che sarà quello in cui è attivato il Contratto MPSA. I punti guadagnati dalla società in un determinato anno che sono in eccesso rispetto al livello di prezzo corrente, ma al di sotto del livello di prezzo successivo, verranno riportati all’anno successivo e serviranno al raggiungimento dei punti necessari per la conformità di tale anno.</w:t>
      </w:r>
    </w:p>
    <w:p w:rsidR="00A562E4" w:rsidRPr="00CA772A" w:rsidRDefault="00A562E4" w:rsidP="00A562E4">
      <w:pPr>
        <w:pStyle w:val="BodyText"/>
      </w:pPr>
      <w:r>
        <w:lastRenderedPageBreak/>
        <w:t>Qualora gli acquisti della società siano inferiori alla quantità di punti minima annuale prevista per un pool di Prodotti durante un determinato anno, l’anno successivo il livello di prezzo della società passerà a quello inferiore (ad esempio, dal Livello C al Livello B) per quel pool e nessun punto verrà riportato all’anno successivo. Il livello di prezzo della società può diminuire al massimo solo di un livello ogni anno.</w:t>
      </w:r>
    </w:p>
    <w:p w:rsidR="00A562E4" w:rsidRPr="00CA772A" w:rsidRDefault="00A562E4" w:rsidP="00A562E4">
      <w:pPr>
        <w:pStyle w:val="BodyText"/>
      </w:pPr>
      <w:r>
        <w:t>Qualora la società abbia associato al Contratto MPSA un contratto qualificante che sia attivo e che abbia un livello di prezzo per il pool di prodotti più vantaggioso rispetto al corrispondente pool del Contratto MPSA, il livello di prezzo migliore per il pool di prodotti verrà conservato nel Contratto MPSA.</w:t>
      </w:r>
    </w:p>
    <w:p w:rsidR="00A562E4" w:rsidRPr="00CA772A" w:rsidRDefault="00A562E4" w:rsidP="00A562E4">
      <w:pPr>
        <w:pStyle w:val="Thirdheading"/>
      </w:pPr>
      <w:r>
        <w:rPr>
          <w:b/>
        </w:rPr>
        <w:t>Procedure per gli Ordini</w:t>
      </w:r>
    </w:p>
    <w:p w:rsidR="00A562E4" w:rsidRPr="00CA772A" w:rsidRDefault="00A562E4" w:rsidP="00A562E4">
      <w:pPr>
        <w:pStyle w:val="BodyText"/>
      </w:pPr>
      <w:r>
        <w:t>Gli ordini di Prodotti che Microsoft rende disponibili attraverso il Contratto MPSA sono eseguiti con il Licensing Solution Partner scelto dalla società. Il prezzo e le condizioni di pagamento applicabili a tutti gli ordini verranno stabiliti mediante un apposito contratto tra la società e il suo partner. All’atto della presentazione degli ordini, la società dovrà specificare tutti i paesi in cui la sua organizzazione utilizzerà i Prodotti.</w:t>
      </w:r>
    </w:p>
    <w:p w:rsidR="00A562E4" w:rsidRPr="00CA772A" w:rsidRDefault="00A562E4" w:rsidP="00A562E4">
      <w:pPr>
        <w:pStyle w:val="BodyText"/>
      </w:pPr>
      <w:r>
        <w:t xml:space="preserve">Tutti gli ordini di Software Assurance e di licenze “Subscription” per il Software si allineeranno alla terza ricorrenza dell’Account per gli Acquisti successiva all’ordine e verranno fatturati annualmente o pagati per intero al momento dell’ordine, a scelta della società. </w:t>
      </w:r>
    </w:p>
    <w:p w:rsidR="00A562E4" w:rsidRPr="00CA772A" w:rsidRDefault="00A562E4" w:rsidP="00A562E4">
      <w:pPr>
        <w:pStyle w:val="BodyText"/>
      </w:pPr>
      <w:r>
        <w:t xml:space="preserve">Gli ordini dei Servizi Online si allineeranno alla ricorrenza dell’Account per gli Acquisti della società successiva alla data dell’ordine e verranno pagati per intero al momento dell’ordine. I prezzi degli ordini aggiuntivi di una sottoscrizione saranno identici all’ordine iniziale della sottoscrizione, salvo disponibilità di una promozione più vantaggiosa al momento dell’ordine. I prezzi vengono ridefiniti quando il periodo di validità della sottoscrizione viene rinnovato. </w:t>
      </w:r>
    </w:p>
    <w:p w:rsidR="00A562E4" w:rsidRPr="00CA772A" w:rsidRDefault="00A562E4" w:rsidP="00A562E4">
      <w:pPr>
        <w:pStyle w:val="BodyText"/>
      </w:pPr>
      <w:r>
        <w:t xml:space="preserve">Microsoft potrà rendere disponibili in futuro tramite il Partner altre opzioni per la fatturazione e l’allineamento. </w:t>
      </w:r>
    </w:p>
    <w:p w:rsidR="00A562E4" w:rsidRPr="00CA772A" w:rsidRDefault="00A562E4" w:rsidP="00A562E4">
      <w:pPr>
        <w:pStyle w:val="BodyText"/>
      </w:pPr>
      <w:r>
        <w:t>Successivamente alla data di accettazione della registrazione da parte di Microsoft dell’Account per gli Acquisti, la società potrà utilizzare qualsiasi Prodotto come se l’avesse ottenuto in licenza ai sensi del Contratto MPSA, purché inoltri un ordine di un numero di licenze sufficiente a consentire l’utilizzo del Prodotto da parte della società nello stesso mese solare in cui il Prodotto viene usato per la prima volta. Nel caso di quantità aggiuntive di un Prodotto in licenza, la società dovrà presentare un ordine nel mese in cui tali quantità vengono utilizzate per la prima volta. Nel caso di postazioni per i Servizi Online che richiedano un ordine di riconciliazione, la società può trovare report di tali quantità tramite il portale MVLC o con l’ausilio del partner. </w:t>
      </w:r>
    </w:p>
    <w:p w:rsidR="00A562E4" w:rsidRPr="00CA772A" w:rsidRDefault="00A562E4" w:rsidP="00A562E4">
      <w:pPr>
        <w:pStyle w:val="BodyText"/>
      </w:pPr>
      <w:r>
        <w:t>Microsoft potrà cambiare i Prodotti disponibili ai sensi del Contratto MPSA e potrà rifiutare di accettare un ordine, qualora tale rifiuto sia giustificato da ragionevoli motivi commerciali.</w:t>
      </w:r>
    </w:p>
    <w:p w:rsidR="00A562E4" w:rsidRPr="00CA772A" w:rsidRDefault="00A562E4" w:rsidP="00A562E4">
      <w:pPr>
        <w:pStyle w:val="BodyText"/>
      </w:pPr>
      <w:r>
        <w:t xml:space="preserve">Informazioni riguardanti ordini del partner ricevuti ed elaborati da Microsoft sono disponibili sul portale MVLC all’indirizzo </w:t>
      </w:r>
      <w:hyperlink r:id="rId19" w:history="1">
        <w:r>
          <w:rPr>
            <w:rStyle w:val="Hyperlink"/>
          </w:rPr>
          <w:t>https://licensing.microsoft.com/customer</w:t>
        </w:r>
      </w:hyperlink>
      <w:r>
        <w:t>. Una volta registrato, al contatto dell’Account per gli Acquisti verrà consentito l’accesso al portale MVLC e l’account designato dell’Amministratore del Contratto potrà accedere alle informazioni presenti in tutti gli Account per gli Acquisti.</w:t>
      </w:r>
    </w:p>
    <w:p w:rsidR="007F1CC7" w:rsidRPr="00CA772A" w:rsidRDefault="007F1CC7" w:rsidP="007F1CC7">
      <w:pPr>
        <w:pStyle w:val="Hdg1noborder"/>
      </w:pPr>
      <w:r>
        <w:t>Articolo 2</w:t>
      </w:r>
      <w:bookmarkEnd w:id="12"/>
      <w:bookmarkEnd w:id="13"/>
    </w:p>
    <w:p w:rsidR="006E40BF" w:rsidRPr="00CA772A" w:rsidRDefault="006E40BF" w:rsidP="009A7988">
      <w:pPr>
        <w:pStyle w:val="Hdg1noborder"/>
        <w:spacing w:before="120" w:after="120" w:line="240" w:lineRule="auto"/>
        <w:rPr>
          <w:rFonts w:eastAsiaTheme="majorEastAsia"/>
        </w:rPr>
      </w:pPr>
      <w:bookmarkStart w:id="14" w:name="_Toc403380299"/>
      <w:bookmarkStart w:id="15" w:name="_Toc416105610"/>
      <w:r>
        <w:rPr>
          <w:rFonts w:asciiTheme="majorHAnsi" w:eastAsiaTheme="majorEastAsia" w:hAnsiTheme="majorHAnsi" w:cstheme="majorBidi"/>
          <w:bCs/>
          <w:color w:val="8064A2" w:themeColor="accent4"/>
          <w:sz w:val="28"/>
          <w:szCs w:val="26"/>
        </w:rPr>
        <w:t>Vantaggi dei Servizi Online</w:t>
      </w:r>
      <w:bookmarkEnd w:id="14"/>
      <w:bookmarkEnd w:id="15"/>
    </w:p>
    <w:p w:rsidR="00461D21" w:rsidRPr="00CA772A" w:rsidRDefault="00461D21" w:rsidP="002123CF">
      <w:pPr>
        <w:pStyle w:val="BodyText"/>
        <w:rPr>
          <w:rFonts w:eastAsiaTheme="majorEastAsia"/>
        </w:rPr>
      </w:pPr>
      <w:r>
        <w:t>Qualora la società acquisti Servizi Online, potrà essere anche idonea ai Vantaggi dei Servizi Online.</w:t>
      </w:r>
      <w:r w:rsidR="00F659C4">
        <w:t xml:space="preserve"> </w:t>
      </w:r>
      <w:r>
        <w:t>Ad esempio, nel caso di Office 365, la società ha diritto al vantaggio E-Learning.</w:t>
      </w:r>
      <w:r w:rsidR="00F659C4">
        <w:t xml:space="preserve"> </w:t>
      </w:r>
      <w:r>
        <w:t>I dettagli di quali vantaggi sono disponibili per i Servizi Online sono forniti con i prodotti nella Lista dei Prodotti e tramite il portale MVLC dopo l</w:t>
      </w:r>
      <w:r w:rsidR="00D1524D">
        <w:t>’</w:t>
      </w:r>
      <w:r>
        <w:t xml:space="preserve">acquisto. Un elenco dei Vantaggi di Software Assurance è disponibile di seguito. </w:t>
      </w:r>
    </w:p>
    <w:p w:rsidR="006E40BF" w:rsidRPr="00CA772A" w:rsidRDefault="006E40BF" w:rsidP="009A7988">
      <w:pPr>
        <w:pStyle w:val="Hdg1noborder"/>
        <w:spacing w:before="120" w:after="120" w:line="240" w:lineRule="auto"/>
        <w:rPr>
          <w:rFonts w:eastAsiaTheme="majorEastAsia"/>
        </w:rPr>
      </w:pPr>
      <w:bookmarkStart w:id="16" w:name="_Toc403380300"/>
      <w:bookmarkStart w:id="17" w:name="_Toc416105611"/>
      <w:r>
        <w:rPr>
          <w:rFonts w:asciiTheme="majorHAnsi" w:eastAsiaTheme="majorEastAsia" w:hAnsiTheme="majorHAnsi" w:cstheme="majorBidi"/>
          <w:bCs/>
          <w:color w:val="8064A2" w:themeColor="accent4"/>
          <w:sz w:val="28"/>
          <w:szCs w:val="26"/>
        </w:rPr>
        <w:t>Software Assurance e Vantaggi</w:t>
      </w:r>
      <w:bookmarkEnd w:id="16"/>
      <w:bookmarkEnd w:id="17"/>
    </w:p>
    <w:p w:rsidR="007F1CC7" w:rsidRPr="00CA772A" w:rsidRDefault="007F1CC7" w:rsidP="007F1CC7">
      <w:pPr>
        <w:pStyle w:val="BodyText"/>
      </w:pPr>
      <w:r>
        <w:rPr>
          <w:color w:val="58595B" w:themeColor="text1"/>
        </w:rPr>
        <w:t>Microsoft Software Assurance per Contratti Multilicenza (SA) è una gamma di strumenti e risorse che agevolano la distribuzione e la gestione dei Prodotti Microsoft. La copertura Software Assurance che la società acquista ai sensi del Contratto MPSA è soggetta alle condizioni del presente Manuale delle Licenze e non è disciplinata dall</w:t>
      </w:r>
      <w:r w:rsidR="00D1524D">
        <w:rPr>
          <w:color w:val="58595B" w:themeColor="text1"/>
        </w:rPr>
        <w:t>’</w:t>
      </w:r>
      <w:r>
        <w:rPr>
          <w:color w:val="58595B" w:themeColor="text1"/>
        </w:rPr>
        <w:t xml:space="preserve">Articolo Software Assurance della Lista dei Prodotti. </w:t>
      </w:r>
      <w:r>
        <w:t xml:space="preserve">Qualora la </w:t>
      </w:r>
      <w:r>
        <w:lastRenderedPageBreak/>
        <w:t>società conosca il calcolo e le regole di idoneità per i Vantaggi SA di Select Plus, tali regole rimangono conformi al Contratto MPSA, ad eccezione del Supporto per la Risoluzione dei Problemi 24x7 e dei Voucher Corsi come di seguito illustrato.</w:t>
      </w:r>
    </w:p>
    <w:p w:rsidR="00460B0C" w:rsidRPr="00CA772A" w:rsidRDefault="00460B0C" w:rsidP="00064F55">
      <w:pPr>
        <w:pStyle w:val="Thirdheading"/>
        <w:keepNext/>
      </w:pPr>
      <w:r>
        <w:rPr>
          <w:b/>
        </w:rPr>
        <w:t>Acquisto di Software Assurance</w:t>
      </w:r>
    </w:p>
    <w:p w:rsidR="00460B0C" w:rsidRPr="00CA772A" w:rsidRDefault="00461D21" w:rsidP="00460B0C">
      <w:pPr>
        <w:pStyle w:val="BodyText"/>
      </w:pPr>
      <w:r>
        <w:t>La società può acquistare Software Assurance (SA) ai sensi del Contratto MPSA nel seguente modo:</w:t>
      </w:r>
    </w:p>
    <w:p w:rsidR="00460B0C" w:rsidRPr="00CA772A" w:rsidRDefault="00460B0C" w:rsidP="00A80953">
      <w:pPr>
        <w:pStyle w:val="BodyText"/>
        <w:numPr>
          <w:ilvl w:val="0"/>
          <w:numId w:val="16"/>
        </w:numPr>
        <w:spacing w:after="0"/>
      </w:pPr>
      <w:r>
        <w:t xml:space="preserve">Impegnandosi ad associare SA a tutti gli acquisti di un particolare pool di Prodotti (Applicazioni, Sistemi o Server). Questa modalità è nota come Partecipazione a Software Assurance (Software Assurance Membership o SAM); </w:t>
      </w:r>
    </w:p>
    <w:p w:rsidR="00460B0C" w:rsidRPr="00CA772A" w:rsidRDefault="00460B0C" w:rsidP="00D22A53">
      <w:pPr>
        <w:pStyle w:val="BodyText"/>
        <w:numPr>
          <w:ilvl w:val="0"/>
          <w:numId w:val="16"/>
        </w:numPr>
      </w:pPr>
      <w:r>
        <w:t>Acquistando SA per i singoli Prodotti senza alcun impegno a estendere SA ad altri Prodotti.</w:t>
      </w:r>
    </w:p>
    <w:p w:rsidR="00460B0C" w:rsidRPr="00CA772A" w:rsidRDefault="00460B0C" w:rsidP="00460B0C">
      <w:pPr>
        <w:pStyle w:val="BodyText"/>
      </w:pPr>
      <w:r>
        <w:rPr>
          <w:color w:val="58595B" w:themeColor="text1"/>
        </w:rPr>
        <w:t>SA dovrà essere acquistata insieme all</w:t>
      </w:r>
      <w:r w:rsidR="00D1524D">
        <w:rPr>
          <w:color w:val="58595B" w:themeColor="text1"/>
        </w:rPr>
        <w:t>’</w:t>
      </w:r>
      <w:r>
        <w:rPr>
          <w:color w:val="58595B" w:themeColor="text1"/>
        </w:rPr>
        <w:t>acquisto della Licenza o al rinnovo di un periodo di validità della copertura SA attiva.</w:t>
      </w:r>
      <w:r w:rsidR="00F659C4">
        <w:rPr>
          <w:color w:val="58595B" w:themeColor="text1"/>
        </w:rPr>
        <w:t xml:space="preserve"> </w:t>
      </w:r>
      <w:r>
        <w:rPr>
          <w:color w:val="58595B" w:themeColor="text1"/>
        </w:rPr>
        <w:t>Salvo quanto diversamente stabilito, solo le licenze per l</w:t>
      </w:r>
      <w:r w:rsidR="00D1524D">
        <w:rPr>
          <w:color w:val="58595B" w:themeColor="text1"/>
        </w:rPr>
        <w:t>’</w:t>
      </w:r>
      <w:r>
        <w:rPr>
          <w:color w:val="58595B" w:themeColor="text1"/>
        </w:rPr>
        <w:t xml:space="preserve">ultima versione di un Prodotto sono idonee per SA. </w:t>
      </w:r>
    </w:p>
    <w:p w:rsidR="00267F89" w:rsidRPr="00CA772A" w:rsidRDefault="00267F89" w:rsidP="002123CF">
      <w:pPr>
        <w:pStyle w:val="Thirdheading"/>
      </w:pPr>
      <w:r>
        <w:rPr>
          <w:b/>
        </w:rPr>
        <w:t>Rinnovo di Software Assurance</w:t>
      </w:r>
    </w:p>
    <w:p w:rsidR="00267F89" w:rsidRPr="00CA772A" w:rsidRDefault="00461D21" w:rsidP="00267F89">
      <w:pPr>
        <w:pStyle w:val="BodyText"/>
      </w:pPr>
      <w:r>
        <w:rPr>
          <w:color w:val="58595B" w:themeColor="text1"/>
        </w:rPr>
        <w:t>La società potrà rinnovare SA senza dovere contemporaneamente ordinare una Licenza purché la copertura SA non sia scaduta.</w:t>
      </w:r>
    </w:p>
    <w:p w:rsidR="00267F89" w:rsidRPr="00CA772A" w:rsidRDefault="00267F89" w:rsidP="002123CF">
      <w:pPr>
        <w:pStyle w:val="Thirdheading"/>
      </w:pPr>
      <w:r>
        <w:rPr>
          <w:b/>
        </w:rPr>
        <w:t>Rinnovo della Copertura con un Contratto Specifico</w:t>
      </w:r>
    </w:p>
    <w:p w:rsidR="00461D21" w:rsidRPr="00CA772A" w:rsidRDefault="00461D21" w:rsidP="00267F89">
      <w:pPr>
        <w:pStyle w:val="BodyText"/>
      </w:pPr>
      <w:r>
        <w:t xml:space="preserve">La società potrà rinnovare SA per qualsiasi Prodotto qualora abbia ottenuto una licenza perpetua e la copertura SA per tale Prodotto ai sensi di un contratto precedente e: </w:t>
      </w:r>
    </w:p>
    <w:p w:rsidR="00461D21" w:rsidRPr="00CA772A" w:rsidRDefault="00267F89" w:rsidP="00A80953">
      <w:pPr>
        <w:pStyle w:val="BodyText"/>
        <w:numPr>
          <w:ilvl w:val="0"/>
          <w:numId w:val="16"/>
        </w:numPr>
        <w:spacing w:after="0"/>
      </w:pPr>
      <w:r>
        <w:t>il rinnovo della copertura SA decorre non più tardi del giorno successivo alla data di scadenza della copertura SA precedente,</w:t>
      </w:r>
      <w:r w:rsidR="00F659C4">
        <w:t xml:space="preserve"> </w:t>
      </w:r>
    </w:p>
    <w:p w:rsidR="00267F89" w:rsidRPr="00CA772A" w:rsidRDefault="00267F89" w:rsidP="00A80953">
      <w:pPr>
        <w:pStyle w:val="BodyText"/>
        <w:numPr>
          <w:ilvl w:val="0"/>
          <w:numId w:val="16"/>
        </w:numPr>
        <w:spacing w:after="0"/>
      </w:pPr>
      <w:r>
        <w:t>l</w:t>
      </w:r>
      <w:r w:rsidR="00D1524D">
        <w:t>’</w:t>
      </w:r>
      <w:r>
        <w:t xml:space="preserve">ordine di rinnovo SA viene effettuato prima della scadenza della copertura SA. </w:t>
      </w:r>
    </w:p>
    <w:p w:rsidR="00267F89" w:rsidRPr="00CA772A" w:rsidRDefault="00267F89" w:rsidP="002123CF">
      <w:pPr>
        <w:pStyle w:val="Thirdheading"/>
        <w:spacing w:before="240"/>
      </w:pPr>
      <w:r>
        <w:rPr>
          <w:b/>
        </w:rPr>
        <w:t>Licenze CAL (CAL) e Licenze di Gestione Client (ML)</w:t>
      </w:r>
    </w:p>
    <w:p w:rsidR="00267F89" w:rsidRPr="00CA772A" w:rsidRDefault="00267F89" w:rsidP="00267F89">
      <w:pPr>
        <w:pStyle w:val="BodyText"/>
      </w:pPr>
      <w:r>
        <w:t>Transizione tra User CAL (Licenza di accesso da parte dell</w:t>
      </w:r>
      <w:r w:rsidR="00D1524D">
        <w:t>’</w:t>
      </w:r>
      <w:r>
        <w:t>utente) e CAL per Dispositivo: la società che rinnova SA per le CAL può passare da Utente a Dispositivo e viceversa.</w:t>
      </w:r>
      <w:r w:rsidR="00F659C4">
        <w:t xml:space="preserve"> </w:t>
      </w:r>
      <w:r>
        <w:t>Tale transizione non modifica l</w:t>
      </w:r>
      <w:r w:rsidR="00D1524D">
        <w:t>’</w:t>
      </w:r>
      <w:r>
        <w:t xml:space="preserve">edizione della CAL (ad esempio da Standard a Enterprise). </w:t>
      </w:r>
    </w:p>
    <w:p w:rsidR="00267F89" w:rsidRPr="00CA772A" w:rsidRDefault="00267F89" w:rsidP="00267F89">
      <w:pPr>
        <w:pStyle w:val="BodyText"/>
      </w:pPr>
      <w:r>
        <w:t>Transizione tra User CAL e OSE client ML: la società che rinnova SA per le client ML può passare da Utente a OSE e viceversa.</w:t>
      </w:r>
    </w:p>
    <w:p w:rsidR="00AC16A2" w:rsidRPr="00CA772A" w:rsidRDefault="00AC16A2" w:rsidP="002123CF">
      <w:pPr>
        <w:pStyle w:val="Thirdheading"/>
      </w:pPr>
      <w:r>
        <w:rPr>
          <w:b/>
        </w:rPr>
        <w:t>Vantaggi di Software Assurance</w:t>
      </w:r>
    </w:p>
    <w:p w:rsidR="00BC0962" w:rsidRPr="00CA772A" w:rsidRDefault="00AC16A2" w:rsidP="00BC0962">
      <w:pPr>
        <w:pStyle w:val="BodyText"/>
      </w:pPr>
      <w:r>
        <w:t>I vantaggi di Software Assurance variano in base al Prodotto e al pool di Prodotti. L</w:t>
      </w:r>
      <w:r w:rsidR="00D1524D">
        <w:t>’</w:t>
      </w:r>
      <w:r>
        <w:t>accesso da parte delle società e i relativi diritti di utilizzo dei vantaggi di SA terminano, in genere, alla scadenza della copertura SA, se non diversamente indicato sotto. La maggior parte dei vantaggi di SA viene assegnata all</w:t>
      </w:r>
      <w:r w:rsidR="00D1524D">
        <w:t>’</w:t>
      </w:r>
      <w:r>
        <w:t>inizio del periodo di copertura.</w:t>
      </w:r>
      <w:r w:rsidR="00F659C4">
        <w:t xml:space="preserve"> </w:t>
      </w:r>
      <w:r>
        <w:t>Le eventuali modifiche verificatesi durante il periodo di copertura (ad esempio acquisti aggiuntivi o resi) potranno comportare variazioni nell</w:t>
      </w:r>
      <w:r w:rsidR="00D1524D">
        <w:t>’</w:t>
      </w:r>
      <w:r>
        <w:t>idoneità a ricevere i vantaggi. Eventuali eccezioni alle regole precedenti sono riportate negli Articoli che seguono riguardanti i singoli vantaggi.</w:t>
      </w:r>
      <w:r w:rsidR="00F659C4">
        <w:t xml:space="preserve"> </w:t>
      </w:r>
      <w:r>
        <w:t>I vantaggi sono soggetti a modifiche e potranno essere interrotti senza preavviso e in qualsiasi momento. I vantaggi di SA sono allocati ai sensi del Contratto MPSA dall</w:t>
      </w:r>
      <w:r w:rsidR="00D1524D">
        <w:t>’</w:t>
      </w:r>
      <w:r>
        <w:t xml:space="preserve">Account per gli Acquisti. </w:t>
      </w:r>
    </w:p>
    <w:p w:rsidR="005E32B9" w:rsidRPr="00CA772A" w:rsidRDefault="00AC16A2">
      <w:pPr>
        <w:spacing w:line="240" w:lineRule="auto"/>
      </w:pPr>
      <w:r>
        <w:rPr>
          <w:rFonts w:eastAsia="Times New Roman" w:cs="Times New Roman"/>
          <w:color w:val="505050"/>
          <w:szCs w:val="20"/>
        </w:rPr>
        <w:t>La copertura SA attiva per qualsiasi prodotto qualificante ai sensi del Contratto MPSA, indipendentemente dalla versione del Prodotto in uso presso la società, si qualifica per i vantaggi indicati nella tabella che segue.</w:t>
      </w:r>
      <w:r w:rsidR="00F659C4">
        <w:rPr>
          <w:rFonts w:eastAsia="Times New Roman" w:cs="Times New Roman"/>
          <w:color w:val="505050"/>
          <w:szCs w:val="20"/>
        </w:rPr>
        <w:t xml:space="preserve"> </w:t>
      </w:r>
      <w:r>
        <w:rPr>
          <w:rFonts w:eastAsia="Times New Roman" w:cs="Times New Roman"/>
          <w:color w:val="505050"/>
          <w:szCs w:val="20"/>
        </w:rPr>
        <w:t>I prodotti qualificanti sono indicati nella sezione relativa a ogni prodotto della Lista dei Prodotti.</w:t>
      </w:r>
      <w:r w:rsidR="00F659C4">
        <w:rPr>
          <w:rFonts w:eastAsia="Times New Roman" w:cs="Times New Roman"/>
          <w:color w:val="505050"/>
          <w:szCs w:val="20"/>
        </w:rPr>
        <w:t xml:space="preserve"> </w:t>
      </w:r>
      <w:r>
        <w:rPr>
          <w:rFonts w:eastAsia="Times New Roman" w:cs="Times New Roman"/>
          <w:color w:val="505050"/>
          <w:szCs w:val="20"/>
        </w:rPr>
        <w:t xml:space="preserve">Alcuni vantaggi richiedono la Partecipazione a SA; tale Partecipazione per il pool di Prodotti applicabili qualifica la società per questi vantaggi. </w:t>
      </w:r>
    </w:p>
    <w:p w:rsidR="00A84C84" w:rsidRPr="00CA772A" w:rsidRDefault="002123CF" w:rsidP="0046773C">
      <w:pPr>
        <w:pStyle w:val="Hdg1noborder"/>
        <w:spacing w:before="120" w:after="120" w:line="240" w:lineRule="auto"/>
        <w:rPr>
          <w:rFonts w:eastAsiaTheme="majorEastAsia"/>
        </w:rPr>
      </w:pPr>
      <w:bookmarkStart w:id="18" w:name="_Toc403380301"/>
      <w:bookmarkStart w:id="19" w:name="_Toc416105612"/>
      <w:r>
        <w:rPr>
          <w:rFonts w:asciiTheme="majorHAnsi" w:eastAsiaTheme="majorEastAsia" w:hAnsiTheme="majorHAnsi" w:cstheme="majorBidi"/>
          <w:bCs/>
          <w:color w:val="8064A2" w:themeColor="accent4"/>
          <w:sz w:val="28"/>
          <w:szCs w:val="26"/>
        </w:rPr>
        <w:t>Disponibilità dei Vantaggi di Software Assurance ai sensi del Contratto MPSA</w:t>
      </w:r>
      <w:bookmarkEnd w:id="18"/>
      <w:bookmarkEnd w:id="19"/>
    </w:p>
    <w:p w:rsidR="00CD1CDD" w:rsidRPr="00CA772A" w:rsidRDefault="00CD1CDD" w:rsidP="0046773C">
      <w:pPr>
        <w:pStyle w:val="BodyText"/>
        <w:spacing w:after="0"/>
      </w:pPr>
      <w:r>
        <w:t>Fatto salvo quanto diversamente riportato sotto, i Vantaggi di SA saranno accessibili tramite il portale MVLC.</w:t>
      </w:r>
      <w:r w:rsidR="00F659C4">
        <w:t xml:space="preserve">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rsidTr="00C463A3">
        <w:trPr>
          <w:trHeight w:val="56"/>
          <w:tblHeader/>
        </w:trPr>
        <w:tc>
          <w:tcPr>
            <w:tcW w:w="5736" w:type="dxa"/>
            <w:shd w:val="clear" w:color="auto" w:fill="5F497A" w:themeFill="accent4" w:themeFillShade="BF"/>
            <w:vAlign w:val="center"/>
          </w:tcPr>
          <w:p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Vantaggi di SA</w:t>
            </w:r>
          </w:p>
        </w:tc>
        <w:tc>
          <w:tcPr>
            <w:tcW w:w="164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Pool di Applicazioni</w:t>
            </w:r>
          </w:p>
        </w:tc>
        <w:tc>
          <w:tcPr>
            <w:tcW w:w="182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Pool di Sistemi</w:t>
            </w:r>
          </w:p>
        </w:tc>
        <w:tc>
          <w:tcPr>
            <w:tcW w:w="150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Pool di Server</w:t>
            </w:r>
          </w:p>
        </w:tc>
      </w:tr>
      <w:tr w:rsidR="00A84C84" w:rsidRPr="00A84C84" w:rsidTr="00C463A3">
        <w:trPr>
          <w:trHeight w:val="255"/>
        </w:trPr>
        <w:tc>
          <w:tcPr>
            <w:tcW w:w="5736" w:type="dxa"/>
          </w:tcPr>
          <w:p w:rsidR="00A84C84" w:rsidRPr="00BC431D" w:rsidRDefault="00C74B31" w:rsidP="00BC431D">
            <w:pPr>
              <w:pStyle w:val="ProductList-Body"/>
              <w:rPr>
                <w:rStyle w:val="Hyperlink"/>
                <w:sz w:val="17"/>
                <w:szCs w:val="17"/>
              </w:rPr>
            </w:pPr>
            <w:hyperlink w:anchor="_Planning_Services_1" w:history="1">
              <w:r w:rsidR="00D60153">
                <w:rPr>
                  <w:rStyle w:val="Hyperlink"/>
                  <w:sz w:val="17"/>
                  <w:szCs w:val="17"/>
                </w:rPr>
                <w:t>Planning Services</w:t>
              </w:r>
            </w:hyperlink>
          </w:p>
        </w:tc>
        <w:tc>
          <w:tcPr>
            <w:tcW w:w="1648" w:type="dxa"/>
          </w:tcPr>
          <w:p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C463A3">
        <w:trPr>
          <w:trHeight w:val="255"/>
        </w:trPr>
        <w:tc>
          <w:tcPr>
            <w:tcW w:w="5736" w:type="dxa"/>
          </w:tcPr>
          <w:p w:rsidR="005944C1" w:rsidRPr="00BC431D" w:rsidRDefault="00C74B31" w:rsidP="00BC431D">
            <w:pPr>
              <w:pStyle w:val="ProductList-Body"/>
              <w:rPr>
                <w:rStyle w:val="Hyperlink"/>
                <w:sz w:val="17"/>
                <w:szCs w:val="17"/>
              </w:rPr>
            </w:pPr>
            <w:hyperlink w:anchor="_Enhanced_Edition_Benefits" w:history="1">
              <w:r w:rsidR="00D60153">
                <w:rPr>
                  <w:rStyle w:val="Hyperlink"/>
                  <w:sz w:val="17"/>
                  <w:szCs w:val="17"/>
                </w:rPr>
                <w:t>Voucher Corsi</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C463A3">
        <w:trPr>
          <w:trHeight w:val="255"/>
        </w:trPr>
        <w:tc>
          <w:tcPr>
            <w:tcW w:w="5736" w:type="dxa"/>
          </w:tcPr>
          <w:p w:rsidR="005944C1" w:rsidRPr="00BC431D" w:rsidRDefault="00C74B31" w:rsidP="00BC431D">
            <w:pPr>
              <w:pStyle w:val="ProductList-Body"/>
              <w:rPr>
                <w:sz w:val="17"/>
                <w:szCs w:val="17"/>
              </w:rPr>
            </w:pPr>
            <w:hyperlink w:anchor="_24x7_Problem_Resolution_1" w:history="1">
              <w:r w:rsidR="00D60153">
                <w:rPr>
                  <w:rStyle w:val="Hyperlink"/>
                  <w:sz w:val="17"/>
                  <w:szCs w:val="17"/>
                </w:rPr>
                <w:t>Supporto per la Risoluzione dei Problemi 24x7</w:t>
              </w:r>
            </w:hyperlink>
          </w:p>
        </w:tc>
        <w:tc>
          <w:tcPr>
            <w:tcW w:w="164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rsidTr="00C463A3">
        <w:trPr>
          <w:trHeight w:val="255"/>
        </w:trPr>
        <w:tc>
          <w:tcPr>
            <w:tcW w:w="5736" w:type="dxa"/>
          </w:tcPr>
          <w:p w:rsidR="005944C1" w:rsidRPr="00BC431D" w:rsidRDefault="00C74B31" w:rsidP="00BC431D">
            <w:pPr>
              <w:pStyle w:val="ProductList-Body"/>
              <w:rPr>
                <w:rFonts w:cstheme="minorHAnsi"/>
                <w:color w:val="58595B" w:themeColor="text1"/>
                <w:sz w:val="17"/>
                <w:szCs w:val="17"/>
                <w:lang w:eastAsia="ja-JP"/>
              </w:rPr>
            </w:pPr>
            <w:hyperlink w:anchor="_Diritti_su_Versioni" w:history="1">
              <w:r w:rsidR="00D60153">
                <w:rPr>
                  <w:rStyle w:val="Hyperlink"/>
                  <w:rFonts w:cstheme="minorHAnsi"/>
                  <w:sz w:val="17"/>
                  <w:szCs w:val="17"/>
                </w:rPr>
                <w:t>Diritti su Versioni Nuove</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C463A3">
        <w:trPr>
          <w:trHeight w:val="255"/>
        </w:trPr>
        <w:tc>
          <w:tcPr>
            <w:tcW w:w="5736" w:type="dxa"/>
          </w:tcPr>
          <w:p w:rsidR="005944C1" w:rsidRPr="00BC431D" w:rsidRDefault="00C74B31" w:rsidP="00BC431D">
            <w:pPr>
              <w:pStyle w:val="ProductList-Body"/>
              <w:rPr>
                <w:sz w:val="17"/>
                <w:szCs w:val="17"/>
              </w:rPr>
            </w:pPr>
            <w:hyperlink w:anchor="_Office_Multi_Language_1" w:history="1">
              <w:r w:rsidR="00D60153">
                <w:rPr>
                  <w:rStyle w:val="Hyperlink"/>
                  <w:rFonts w:cstheme="minorHAnsi"/>
                  <w:sz w:val="17"/>
                  <w:szCs w:val="17"/>
                </w:rPr>
                <w:t>Office Multi Language Pack</w:t>
              </w:r>
            </w:hyperlink>
          </w:p>
        </w:tc>
        <w:tc>
          <w:tcPr>
            <w:tcW w:w="164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rsidTr="00C463A3">
        <w:trPr>
          <w:trHeight w:val="255"/>
        </w:trPr>
        <w:tc>
          <w:tcPr>
            <w:tcW w:w="5736" w:type="dxa"/>
          </w:tcPr>
          <w:p w:rsidR="005944C1" w:rsidRPr="00BC431D" w:rsidRDefault="00C74B31" w:rsidP="00BC431D">
            <w:pPr>
              <w:pStyle w:val="ProductList-Body"/>
              <w:rPr>
                <w:rFonts w:cstheme="minorHAnsi"/>
                <w:color w:val="58595B" w:themeColor="text1"/>
                <w:sz w:val="17"/>
                <w:szCs w:val="17"/>
                <w:lang w:eastAsia="ja-JP"/>
              </w:rPr>
            </w:pPr>
            <w:hyperlink w:anchor="_Office_Online_1" w:history="1">
              <w:r w:rsidR="00D60153">
                <w:rPr>
                  <w:rStyle w:val="Hyperlink"/>
                  <w:rFonts w:cstheme="minorHAnsi"/>
                  <w:sz w:val="17"/>
                  <w:szCs w:val="17"/>
                </w:rPr>
                <w:t>Vantaggi delle Edizioni Enhanced: Windows e Windows Embedded</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C463A3">
        <w:trPr>
          <w:trHeight w:val="255"/>
        </w:trPr>
        <w:tc>
          <w:tcPr>
            <w:tcW w:w="5736" w:type="dxa"/>
          </w:tcPr>
          <w:p w:rsidR="005944C1" w:rsidRPr="00BC431D" w:rsidRDefault="00C74B31" w:rsidP="00BC431D">
            <w:pPr>
              <w:pStyle w:val="ProductList-Body"/>
              <w:rPr>
                <w:rFonts w:cstheme="minorHAnsi"/>
                <w:color w:val="58595B" w:themeColor="text1"/>
                <w:sz w:val="17"/>
                <w:szCs w:val="17"/>
                <w:lang w:eastAsia="ja-JP"/>
              </w:rPr>
            </w:pPr>
            <w:hyperlink w:anchor="_Windows_Companion_Subscription" w:history="1">
              <w:r w:rsidR="00D60153">
                <w:rPr>
                  <w:rStyle w:val="Hyperlink"/>
                  <w:rFonts w:cstheme="minorHAnsi"/>
                  <w:sz w:val="17"/>
                  <w:szCs w:val="17"/>
                </w:rPr>
                <w:t>E-Learning</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C463A3">
        <w:trPr>
          <w:trHeight w:val="255"/>
        </w:trPr>
        <w:tc>
          <w:tcPr>
            <w:tcW w:w="5736" w:type="dxa"/>
          </w:tcPr>
          <w:p w:rsidR="005944C1" w:rsidRPr="00BC431D" w:rsidRDefault="00C74B31" w:rsidP="00BC431D">
            <w:pPr>
              <w:pStyle w:val="ProductList-Body"/>
              <w:rPr>
                <w:rFonts w:cstheme="minorHAnsi"/>
                <w:color w:val="58595B" w:themeColor="text1"/>
                <w:sz w:val="17"/>
                <w:szCs w:val="17"/>
                <w:lang w:eastAsia="ja-JP"/>
              </w:rPr>
            </w:pPr>
            <w:hyperlink w:anchor="_Home_Use_Program" w:history="1">
              <w:r w:rsidR="00D60153">
                <w:rPr>
                  <w:rStyle w:val="Hyperlink"/>
                  <w:rFonts w:cstheme="minorHAnsi"/>
                  <w:sz w:val="17"/>
                  <w:szCs w:val="17"/>
                </w:rPr>
                <w:t>Home Use Program</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C463A3">
        <w:trPr>
          <w:trHeight w:val="255"/>
        </w:trPr>
        <w:tc>
          <w:tcPr>
            <w:tcW w:w="5736" w:type="dxa"/>
          </w:tcPr>
          <w:p w:rsidR="005944C1" w:rsidRPr="00BC431D" w:rsidRDefault="00C74B31" w:rsidP="00BC431D">
            <w:pPr>
              <w:pStyle w:val="ProductList-Body"/>
              <w:rPr>
                <w:rFonts w:cstheme="minorHAnsi"/>
                <w:color w:val="58595B" w:themeColor="text1"/>
                <w:sz w:val="17"/>
                <w:szCs w:val="17"/>
                <w:lang w:eastAsia="ja-JP"/>
              </w:rPr>
            </w:pPr>
            <w:hyperlink w:anchor="_Enterprise_Source_Licensing" w:history="1">
              <w:r w:rsidR="00D60153">
                <w:rPr>
                  <w:rStyle w:val="Hyperlink"/>
                  <w:rFonts w:cstheme="minorHAnsi"/>
                  <w:sz w:val="17"/>
                  <w:szCs w:val="17"/>
                </w:rPr>
                <w:t>Enterprise Source Licensing Program</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C463A3">
        <w:trPr>
          <w:trHeight w:val="255"/>
        </w:trPr>
        <w:tc>
          <w:tcPr>
            <w:tcW w:w="5736" w:type="dxa"/>
          </w:tcPr>
          <w:p w:rsidR="005944C1" w:rsidRPr="00BC431D" w:rsidRDefault="00C74B31" w:rsidP="00BC431D">
            <w:pPr>
              <w:pStyle w:val="ProductList-Body"/>
              <w:rPr>
                <w:rFonts w:cstheme="minorHAnsi"/>
                <w:color w:val="58595B" w:themeColor="text1"/>
                <w:sz w:val="17"/>
                <w:szCs w:val="17"/>
                <w:lang w:eastAsia="ja-JP"/>
              </w:rPr>
            </w:pPr>
            <w:hyperlink w:anchor="_24x7_Problem_Resolution" w:history="1">
              <w:r w:rsidR="00D60153">
                <w:rPr>
                  <w:rStyle w:val="Hyperlink"/>
                  <w:rFonts w:cstheme="minorHAnsi"/>
                  <w:sz w:val="17"/>
                  <w:szCs w:val="17"/>
                </w:rPr>
                <w:t>System Center Global Service Monitor</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C463A3">
        <w:trPr>
          <w:trHeight w:val="255"/>
        </w:trPr>
        <w:tc>
          <w:tcPr>
            <w:tcW w:w="5736" w:type="dxa"/>
          </w:tcPr>
          <w:p w:rsidR="005944C1" w:rsidRPr="00BC431D" w:rsidRDefault="00C74B31" w:rsidP="00BC431D">
            <w:pPr>
              <w:pStyle w:val="ProductList-Body"/>
              <w:rPr>
                <w:rFonts w:cstheme="minorHAnsi"/>
                <w:color w:val="58595B" w:themeColor="text1"/>
                <w:sz w:val="17"/>
                <w:szCs w:val="17"/>
                <w:lang w:eastAsia="ja-JP"/>
              </w:rPr>
            </w:pPr>
            <w:hyperlink w:anchor="_Backup_per_Ripristino" w:history="1">
              <w:r w:rsidR="00D60153">
                <w:rPr>
                  <w:rStyle w:val="Hyperlink"/>
                  <w:rFonts w:cstheme="minorHAnsi"/>
                  <w:sz w:val="17"/>
                  <w:szCs w:val="17"/>
                </w:rPr>
                <w:t>Backup per Ripristino di Emergenza</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C463A3">
        <w:trPr>
          <w:trHeight w:val="246"/>
        </w:trPr>
        <w:tc>
          <w:tcPr>
            <w:tcW w:w="5736" w:type="dxa"/>
          </w:tcPr>
          <w:p w:rsidR="005944C1" w:rsidRPr="00BC431D" w:rsidRDefault="00C74B31" w:rsidP="00BC431D">
            <w:pPr>
              <w:pStyle w:val="ProductList-Body"/>
              <w:rPr>
                <w:rFonts w:cstheme="minorHAnsi"/>
                <w:color w:val="58595B" w:themeColor="text1"/>
                <w:sz w:val="17"/>
                <w:szCs w:val="17"/>
                <w:lang w:eastAsia="ja-JP"/>
              </w:rPr>
            </w:pPr>
            <w:hyperlink w:anchor="_License_Mobility_through" w:history="1">
              <w:r w:rsidR="00D60153">
                <w:rPr>
                  <w:rStyle w:val="Hyperlink"/>
                  <w:rFonts w:cstheme="minorHAnsi"/>
                  <w:sz w:val="17"/>
                  <w:szCs w:val="17"/>
                </w:rPr>
                <w:t>Mobilità delle Licenze tramite SA</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C463A3">
        <w:trPr>
          <w:trHeight w:val="246"/>
        </w:trPr>
        <w:tc>
          <w:tcPr>
            <w:tcW w:w="5736" w:type="dxa"/>
          </w:tcPr>
          <w:p w:rsidR="005944C1" w:rsidRPr="00BC431D" w:rsidRDefault="00C74B31" w:rsidP="00BC431D">
            <w:pPr>
              <w:pStyle w:val="ProductList-Body"/>
              <w:rPr>
                <w:rFonts w:cstheme="minorHAnsi"/>
                <w:color w:val="58595B" w:themeColor="text1"/>
                <w:sz w:val="17"/>
                <w:szCs w:val="17"/>
                <w:lang w:eastAsia="ja-JP"/>
              </w:rPr>
            </w:pPr>
            <w:hyperlink w:anchor="_Windows_Thin_PC" w:history="1">
              <w:r w:rsidR="00D60153">
                <w:rPr>
                  <w:rStyle w:val="Hyperlink"/>
                  <w:rFonts w:cstheme="minorHAnsi"/>
                  <w:sz w:val="17"/>
                  <w:szCs w:val="17"/>
                </w:rPr>
                <w:t>Windows Thin PC</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C463A3">
        <w:trPr>
          <w:trHeight w:val="255"/>
        </w:trPr>
        <w:tc>
          <w:tcPr>
            <w:tcW w:w="5736" w:type="dxa"/>
          </w:tcPr>
          <w:p w:rsidR="005944C1" w:rsidRPr="00BC431D" w:rsidRDefault="00C74B31" w:rsidP="00BC431D">
            <w:pPr>
              <w:pStyle w:val="ProductList-Body"/>
              <w:rPr>
                <w:rFonts w:cstheme="minorHAnsi"/>
                <w:color w:val="58595B" w:themeColor="text1"/>
                <w:sz w:val="17"/>
                <w:szCs w:val="17"/>
                <w:lang w:eastAsia="ja-JP"/>
              </w:rPr>
            </w:pPr>
            <w:hyperlink w:anchor="_Extended_Hotfix_Support" w:history="1">
              <w:r w:rsidR="00D60153">
                <w:rPr>
                  <w:rStyle w:val="Hyperlink"/>
                  <w:rFonts w:cstheme="minorHAnsi"/>
                  <w:sz w:val="17"/>
                  <w:szCs w:val="17"/>
                </w:rPr>
                <w:t>Supporto HotFix Esteso</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C463A3">
        <w:trPr>
          <w:trHeight w:val="255"/>
        </w:trPr>
        <w:tc>
          <w:tcPr>
            <w:tcW w:w="5736" w:type="dxa"/>
          </w:tcPr>
          <w:p w:rsidR="00873663" w:rsidRDefault="00C74B31" w:rsidP="00873663">
            <w:pPr>
              <w:pStyle w:val="ProductList-Body"/>
            </w:pPr>
            <w:hyperlink w:anchor="_Microsoft_Desktop_Optimization" w:history="1">
              <w:r w:rsidR="00D60153">
                <w:rPr>
                  <w:rStyle w:val="Hyperlink"/>
                  <w:rFonts w:cstheme="minorHAnsi"/>
                  <w:sz w:val="17"/>
                  <w:szCs w:val="17"/>
                </w:rPr>
                <w:t>Microsoft Dynamics CustomerSource</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ascii="Wingdings" w:hAnsi="Wingdings" w:cs="Wingdings"/>
                <w:color w:val="58595B" w:themeColor="text1"/>
                <w:sz w:val="17"/>
                <w:szCs w:val="17"/>
              </w:rPr>
            </w:pP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C463A3">
        <w:trPr>
          <w:trHeight w:val="255"/>
        </w:trPr>
        <w:tc>
          <w:tcPr>
            <w:tcW w:w="5736" w:type="dxa"/>
          </w:tcPr>
          <w:p w:rsidR="00873663" w:rsidRPr="00A61B6D" w:rsidRDefault="00C74B31" w:rsidP="00873663">
            <w:pPr>
              <w:pStyle w:val="ProductList-Body"/>
              <w:rPr>
                <w:rFonts w:cstheme="minorHAnsi"/>
                <w:color w:val="58595B" w:themeColor="text1"/>
                <w:sz w:val="17"/>
                <w:szCs w:val="17"/>
                <w:lang w:val="en-US" w:eastAsia="ja-JP"/>
              </w:rPr>
            </w:pPr>
            <w:hyperlink w:anchor="_Microsoft_Desktop_Optimization_1" w:history="1">
              <w:r w:rsidR="00D60153" w:rsidRPr="00A61B6D">
                <w:rPr>
                  <w:rStyle w:val="Hyperlink"/>
                  <w:rFonts w:cstheme="minorHAnsi"/>
                  <w:sz w:val="17"/>
                  <w:szCs w:val="17"/>
                  <w:lang w:val="en-US"/>
                </w:rPr>
                <w:t>Microsoft Desktop Optimization Pack (MDOP)</w:t>
              </w:r>
            </w:hyperlink>
          </w:p>
        </w:tc>
        <w:tc>
          <w:tcPr>
            <w:tcW w:w="1648" w:type="dxa"/>
            <w:vAlign w:val="center"/>
          </w:tcPr>
          <w:p w:rsidR="00873663" w:rsidRPr="00A61B6D" w:rsidRDefault="00873663" w:rsidP="00873663">
            <w:pPr>
              <w:pStyle w:val="ProductList-Body"/>
              <w:jc w:val="center"/>
              <w:rPr>
                <w:rFonts w:cstheme="minorHAnsi"/>
                <w:color w:val="58595B" w:themeColor="text1"/>
                <w:sz w:val="17"/>
                <w:szCs w:val="17"/>
                <w:lang w:val="en-US"/>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C463A3">
        <w:trPr>
          <w:trHeight w:val="255"/>
        </w:trPr>
        <w:tc>
          <w:tcPr>
            <w:tcW w:w="5736" w:type="dxa"/>
          </w:tcPr>
          <w:p w:rsidR="00873663" w:rsidRPr="00BC431D" w:rsidRDefault="00C74B31" w:rsidP="00873663">
            <w:pPr>
              <w:pStyle w:val="ProductList-Body"/>
              <w:rPr>
                <w:rFonts w:cstheme="minorHAnsi"/>
                <w:color w:val="58595B" w:themeColor="text1"/>
                <w:sz w:val="17"/>
                <w:szCs w:val="17"/>
                <w:lang w:eastAsia="ja-JP"/>
              </w:rPr>
            </w:pPr>
            <w:hyperlink w:anchor="_Diritti_di_Virtualizzazione" w:history="1">
              <w:r w:rsidR="00D60153">
                <w:rPr>
                  <w:rStyle w:val="Hyperlink"/>
                  <w:rFonts w:cstheme="minorHAnsi"/>
                  <w:sz w:val="17"/>
                  <w:szCs w:val="17"/>
                </w:rPr>
                <w:t>Diritti di Virtualizzazione per i Desktop Windows e Windows Embedded</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C463A3">
        <w:trPr>
          <w:trHeight w:val="255"/>
        </w:trPr>
        <w:tc>
          <w:tcPr>
            <w:tcW w:w="5736" w:type="dxa"/>
          </w:tcPr>
          <w:p w:rsidR="00873663" w:rsidRPr="00A61B6D" w:rsidRDefault="00C74B31" w:rsidP="00873663">
            <w:pPr>
              <w:pStyle w:val="ProductList-Body"/>
              <w:rPr>
                <w:rFonts w:cstheme="minorHAnsi"/>
                <w:color w:val="58595B" w:themeColor="text1"/>
                <w:sz w:val="17"/>
                <w:szCs w:val="17"/>
                <w:lang w:val="en-US" w:eastAsia="ja-JP"/>
              </w:rPr>
            </w:pPr>
            <w:hyperlink w:anchor="_Windows_Virtual_Desktop" w:history="1">
              <w:r w:rsidR="00D60153" w:rsidRPr="00A61B6D">
                <w:rPr>
                  <w:rStyle w:val="Hyperlink"/>
                  <w:rFonts w:cstheme="minorHAnsi"/>
                  <w:sz w:val="17"/>
                  <w:szCs w:val="17"/>
                  <w:lang w:val="en-US"/>
                </w:rPr>
                <w:t>Windows Virtual Desktop Access (VDA)</w:t>
              </w:r>
            </w:hyperlink>
          </w:p>
        </w:tc>
        <w:tc>
          <w:tcPr>
            <w:tcW w:w="1648" w:type="dxa"/>
            <w:vAlign w:val="center"/>
          </w:tcPr>
          <w:p w:rsidR="00873663" w:rsidRPr="00A61B6D" w:rsidRDefault="00873663" w:rsidP="00873663">
            <w:pPr>
              <w:pStyle w:val="ProductList-Body"/>
              <w:jc w:val="center"/>
              <w:rPr>
                <w:rFonts w:cstheme="minorHAnsi"/>
                <w:color w:val="58595B" w:themeColor="text1"/>
                <w:sz w:val="17"/>
                <w:szCs w:val="17"/>
                <w:lang w:val="en-US"/>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bl>
    <w:p w:rsidR="00A84C84" w:rsidRPr="00CA772A"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indica che la Partecipazione a Software Assurance, l</w:t>
      </w:r>
      <w:r w:rsidR="00D1524D">
        <w:rPr>
          <w:rFonts w:eastAsiaTheme="minorEastAsia"/>
          <w:i/>
          <w:iCs/>
          <w:color w:val="58595B" w:themeColor="text1"/>
          <w:sz w:val="16"/>
        </w:rPr>
        <w:t>’</w:t>
      </w:r>
      <w:r>
        <w:rPr>
          <w:rFonts w:eastAsiaTheme="minorEastAsia"/>
          <w:i/>
          <w:iCs/>
          <w:color w:val="58595B" w:themeColor="text1"/>
          <w:sz w:val="16"/>
        </w:rPr>
        <w:t>acquisto di Software Assurance o la spesa SA per i prodotti qualificanti all</w:t>
      </w:r>
      <w:r w:rsidR="00D1524D">
        <w:rPr>
          <w:rFonts w:eastAsiaTheme="minorEastAsia"/>
          <w:i/>
          <w:iCs/>
          <w:color w:val="58595B" w:themeColor="text1"/>
          <w:sz w:val="16"/>
        </w:rPr>
        <w:t>’</w:t>
      </w:r>
      <w:r>
        <w:rPr>
          <w:rFonts w:eastAsiaTheme="minorEastAsia"/>
          <w:i/>
          <w:iCs/>
          <w:color w:val="58595B" w:themeColor="text1"/>
          <w:sz w:val="16"/>
        </w:rPr>
        <w:t>interno del pool indicato rendono idonea la società a ottenere il vantaggio.</w:t>
      </w:r>
    </w:p>
    <w:p w:rsidR="00A84C84" w:rsidRPr="00CA772A" w:rsidRDefault="00A84C84" w:rsidP="00A84C84">
      <w:pPr>
        <w:pStyle w:val="ProductList-Body"/>
        <w:tabs>
          <w:tab w:val="clear" w:pos="158"/>
          <w:tab w:val="left" w:pos="180"/>
        </w:tabs>
      </w:pPr>
      <w:r>
        <w:rPr>
          <w:rFonts w:cstheme="minorHAnsi"/>
          <w:i/>
          <w:color w:val="58595B" w:themeColor="text1"/>
          <w:sz w:val="16"/>
          <w:szCs w:val="18"/>
        </w:rPr>
        <w:t>A livello generale, le sottoscrizioni che includono componenti software che contengono software con versione includeranno i diritti delle nuove versioni per tali componenti.</w:t>
      </w:r>
    </w:p>
    <w:p w:rsidR="00A84C84" w:rsidRPr="00CA772A" w:rsidRDefault="00A84C84" w:rsidP="00A84C84">
      <w:pPr>
        <w:pStyle w:val="ProductList-Body"/>
        <w:tabs>
          <w:tab w:val="clear" w:pos="158"/>
          <w:tab w:val="left" w:pos="180"/>
        </w:tabs>
      </w:pPr>
      <w:r>
        <w:rPr>
          <w:rFonts w:cstheme="minorHAnsi"/>
          <w:color w:val="58595B" w:themeColor="text1"/>
          <w:sz w:val="16"/>
          <w:szCs w:val="18"/>
          <w:vertAlign w:val="superscript"/>
        </w:rPr>
        <w:t xml:space="preserve">1 </w:t>
      </w:r>
      <w:r>
        <w:rPr>
          <w:rFonts w:cstheme="minorHAnsi"/>
          <w:i/>
          <w:color w:val="58595B" w:themeColor="text1"/>
          <w:sz w:val="16"/>
          <w:szCs w:val="18"/>
        </w:rPr>
        <w:t>Qualora la società disponga della copertura SA per l</w:t>
      </w:r>
      <w:r w:rsidR="00D1524D">
        <w:rPr>
          <w:rFonts w:cstheme="minorHAnsi"/>
          <w:i/>
          <w:color w:val="58595B" w:themeColor="text1"/>
          <w:sz w:val="16"/>
          <w:szCs w:val="18"/>
        </w:rPr>
        <w:t>’</w:t>
      </w:r>
      <w:r>
        <w:rPr>
          <w:rFonts w:cstheme="minorHAnsi"/>
          <w:i/>
          <w:color w:val="58595B" w:themeColor="text1"/>
          <w:sz w:val="16"/>
          <w:szCs w:val="18"/>
        </w:rPr>
        <w:t xml:space="preserve">Aggiornamento a Windows Pro o a Windows Embedded Industry Pro continuerà a ricevere i Diritti sulle Edizioni Enterprise. </w:t>
      </w:r>
    </w:p>
    <w:p w:rsidR="0037779D" w:rsidRPr="00CA772A" w:rsidRDefault="00A84C84" w:rsidP="002123CF">
      <w:pPr>
        <w:pStyle w:val="ProductList-Body"/>
      </w:pPr>
      <w:r>
        <w:rPr>
          <w:rFonts w:cstheme="minorHAnsi"/>
          <w:color w:val="58595B" w:themeColor="text1"/>
          <w:sz w:val="16"/>
          <w:szCs w:val="18"/>
          <w:vertAlign w:val="superscript"/>
        </w:rPr>
        <w:t>2</w:t>
      </w:r>
      <w:r w:rsidR="00A6721D">
        <w:rPr>
          <w:rFonts w:cstheme="minorHAnsi"/>
          <w:color w:val="58595B" w:themeColor="text1"/>
          <w:sz w:val="16"/>
          <w:szCs w:val="18"/>
          <w:vertAlign w:val="superscript"/>
        </w:rPr>
        <w:t xml:space="preserve"> </w:t>
      </w:r>
      <w:r>
        <w:rPr>
          <w:rFonts w:cstheme="minorHAnsi"/>
          <w:i/>
          <w:color w:val="58595B" w:themeColor="text1"/>
          <w:sz w:val="16"/>
          <w:szCs w:val="18"/>
        </w:rPr>
        <w:t>Non è un vantaggio di SA per i Prodotti Windows Embedded.</w:t>
      </w:r>
    </w:p>
    <w:p w:rsidR="00405B6B" w:rsidRPr="00CA772A" w:rsidRDefault="00D658E2" w:rsidP="0046773C">
      <w:pPr>
        <w:pStyle w:val="Hdg1noborder"/>
        <w:spacing w:before="60" w:after="120" w:line="240" w:lineRule="auto"/>
        <w:rPr>
          <w:rFonts w:eastAsiaTheme="majorEastAsia"/>
        </w:rPr>
      </w:pPr>
      <w:bookmarkStart w:id="20" w:name="_Toc403380302"/>
      <w:bookmarkStart w:id="21" w:name="_Toc416105613"/>
      <w:r>
        <w:rPr>
          <w:rFonts w:asciiTheme="majorHAnsi" w:eastAsiaTheme="majorEastAsia" w:hAnsiTheme="majorHAnsi" w:cstheme="majorBidi"/>
          <w:bCs/>
          <w:color w:val="8064A2" w:themeColor="accent4"/>
          <w:sz w:val="28"/>
          <w:szCs w:val="26"/>
        </w:rPr>
        <w:t>Vantaggi Basati sui Punti</w:t>
      </w:r>
      <w:bookmarkEnd w:id="20"/>
      <w:bookmarkEnd w:id="21"/>
    </w:p>
    <w:p w:rsidR="00D658E2" w:rsidRPr="00CA772A" w:rsidRDefault="00D658E2" w:rsidP="002123CF">
      <w:pPr>
        <w:pStyle w:val="Thirdheading"/>
      </w:pPr>
      <w:r>
        <w:rPr>
          <w:b/>
        </w:rPr>
        <w:t xml:space="preserve">Calcolo dei Punti per i Vantaggi di Software Assurance per il Contratto MPSA </w:t>
      </w:r>
    </w:p>
    <w:p w:rsidR="00405B6B" w:rsidRPr="00CA772A" w:rsidRDefault="00D658E2" w:rsidP="00405B6B">
      <w:pPr>
        <w:pStyle w:val="BodyText"/>
      </w:pPr>
      <w:r>
        <w:t>Ai sensi del Contratto MPSA, i diritti ai seguenti vantaggi sono calcolati in base a un sistema di punti:</w:t>
      </w:r>
    </w:p>
    <w:p w:rsidR="00405B6B" w:rsidRPr="00CA772A" w:rsidRDefault="00405B6B" w:rsidP="007B5219">
      <w:pPr>
        <w:pStyle w:val="BodyText"/>
        <w:numPr>
          <w:ilvl w:val="0"/>
          <w:numId w:val="16"/>
        </w:numPr>
        <w:spacing w:after="0"/>
      </w:pPr>
      <w:r>
        <w:t>Planning Services</w:t>
      </w:r>
    </w:p>
    <w:p w:rsidR="00405B6B" w:rsidRPr="00CA772A" w:rsidRDefault="00405B6B" w:rsidP="007B5219">
      <w:pPr>
        <w:pStyle w:val="BodyText"/>
        <w:numPr>
          <w:ilvl w:val="0"/>
          <w:numId w:val="16"/>
        </w:numPr>
        <w:spacing w:after="0"/>
      </w:pPr>
      <w:r>
        <w:t>Voucher Corsi</w:t>
      </w:r>
    </w:p>
    <w:p w:rsidR="00461D21" w:rsidRPr="00CA772A" w:rsidRDefault="00405B6B" w:rsidP="007B5219">
      <w:pPr>
        <w:pStyle w:val="BodyText"/>
        <w:numPr>
          <w:ilvl w:val="0"/>
          <w:numId w:val="16"/>
        </w:numPr>
      </w:pPr>
      <w:r>
        <w:t>Supporto per la Risoluzione dei Problemi 24x7 (Telefono)</w:t>
      </w:r>
    </w:p>
    <w:p w:rsidR="00BC431D" w:rsidRPr="00CA772A" w:rsidRDefault="00405B6B" w:rsidP="00405B6B">
      <w:r>
        <w:rPr>
          <w:color w:val="58595B" w:themeColor="text1"/>
          <w:szCs w:val="18"/>
        </w:rPr>
        <w:t>I punti per i Vantaggi di Software Assurance sono calcolati sulla base del numero di licenze qualificanti, dei pool applicabili e dei punti associati ai prodotti qualificanti elencati nella tabella che segue.</w:t>
      </w:r>
      <w:r w:rsidR="00F659C4">
        <w:rPr>
          <w:color w:val="58595B" w:themeColor="text1"/>
          <w:szCs w:val="18"/>
        </w:rPr>
        <w:t xml:space="preserve"> </w:t>
      </w:r>
      <w:r>
        <w:rPr>
          <w:color w:val="58595B" w:themeColor="text1"/>
          <w:szCs w:val="18"/>
        </w:rPr>
        <w:t>La società dovrà fare riferimento alla precedente tabella “Vantaggi di SA disponibili attraverso il Contratto MPSA per Pool” per conoscere quali pool otterranno punti per ciascun Vantaggio di SA.</w:t>
      </w:r>
      <w:r w:rsidR="00F659C4">
        <w:rPr>
          <w:color w:val="58595B" w:themeColor="text1"/>
          <w:szCs w:val="18"/>
        </w:rPr>
        <w:t xml:space="preserve"> </w:t>
      </w:r>
      <w:r>
        <w:rPr>
          <w:color w:val="58595B" w:themeColor="text1"/>
          <w:szCs w:val="18"/>
        </w:rPr>
        <w:t xml:space="preserve">I Punti degli Account per gli Acquisti non possono essere combinati </w:t>
      </w:r>
      <w:r>
        <w:rPr>
          <w:rFonts w:cs="Tahoma"/>
          <w:color w:val="58595B" w:themeColor="text1"/>
          <w:szCs w:val="18"/>
        </w:rPr>
        <w:t>per qualificarsi per punti aggiuntivi.</w:t>
      </w:r>
      <w:r w:rsidR="00F659C4">
        <w:rPr>
          <w:rFonts w:cs="Tahoma"/>
          <w:color w:val="58595B" w:themeColor="text1"/>
          <w:szCs w:val="18"/>
        </w:rPr>
        <w:t xml:space="preserve"> </w:t>
      </w:r>
      <w:r>
        <w:rPr>
          <w:rFonts w:cs="Tahoma"/>
          <w:color w:val="58595B" w:themeColor="text1"/>
          <w:szCs w:val="18"/>
        </w:rPr>
        <w:t xml:space="preserve">La riduzione dei punti in seguito a resi o ad altre modifiche apportate alla fatturazione, ove ciò sia ammesso, potrebbe comportare la perdita di diritti durante i periodi di assegnazione attuale o futuri.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405B6B" w:rsidRPr="005B13F2" w:rsidTr="00DF41D5">
        <w:trPr>
          <w:trHeight w:val="208"/>
        </w:trPr>
        <w:tc>
          <w:tcPr>
            <w:tcW w:w="9995" w:type="dxa"/>
            <w:shd w:val="clear" w:color="auto" w:fill="5F497A" w:themeFill="accent4" w:themeFillShade="BF"/>
            <w:tcMar>
              <w:top w:w="15" w:type="dxa"/>
              <w:left w:w="108" w:type="dxa"/>
              <w:bottom w:w="0" w:type="dxa"/>
              <w:right w:w="108" w:type="dxa"/>
            </w:tcMar>
          </w:tcPr>
          <w:p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Prodotti</w:t>
            </w:r>
          </w:p>
        </w:tc>
        <w:tc>
          <w:tcPr>
            <w:tcW w:w="720" w:type="dxa"/>
            <w:shd w:val="clear" w:color="auto" w:fill="5F497A" w:themeFill="accent4" w:themeFillShade="BF"/>
            <w:tcMar>
              <w:top w:w="15" w:type="dxa"/>
              <w:left w:w="108" w:type="dxa"/>
              <w:bottom w:w="0" w:type="dxa"/>
              <w:right w:w="108" w:type="dxa"/>
            </w:tcMar>
          </w:tcPr>
          <w:p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Punti</w:t>
            </w:r>
          </w:p>
        </w:tc>
      </w:tr>
      <w:tr w:rsidR="00405B6B" w:rsidRPr="00CC21B3" w:rsidTr="00DF41D5">
        <w:trPr>
          <w:trHeight w:val="127"/>
        </w:trPr>
        <w:tc>
          <w:tcPr>
            <w:tcW w:w="9995" w:type="dxa"/>
            <w:shd w:val="clear" w:color="auto" w:fill="FFFFFF"/>
            <w:tcMar>
              <w:top w:w="15" w:type="dxa"/>
              <w:left w:w="108" w:type="dxa"/>
              <w:bottom w:w="0" w:type="dxa"/>
              <w:right w:w="108" w:type="dxa"/>
            </w:tcMar>
          </w:tcPr>
          <w:p w:rsidR="00405B6B" w:rsidRPr="00BC431D" w:rsidRDefault="00405B6B" w:rsidP="00103B57">
            <w:pPr>
              <w:pStyle w:val="ProductList-Body"/>
              <w:rPr>
                <w:color w:val="58595B" w:themeColor="text1"/>
                <w:sz w:val="16"/>
                <w:szCs w:val="18"/>
              </w:rPr>
            </w:pPr>
            <w:r>
              <w:rPr>
                <w:color w:val="58595B" w:themeColor="text1"/>
                <w:sz w:val="16"/>
                <w:szCs w:val="18"/>
              </w:rPr>
              <w:t>Prodotti del Pool di Applicazioni Office (incluse le famiglie di prodotti Office, Project Standard e Professional, Visio Standard e Professional), Prodotti del Pool di Sistemi, CAL per Microsoft Dynamics CRM</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rsidTr="00DF41D5">
        <w:trPr>
          <w:trHeight w:val="45"/>
        </w:trPr>
        <w:tc>
          <w:tcPr>
            <w:tcW w:w="9995"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xml:space="preserve">, </w:t>
            </w:r>
            <w:r w:rsidRPr="00DF41D5">
              <w:rPr>
                <w:rFonts w:eastAsia="Calibri"/>
                <w:sz w:val="16"/>
                <w:szCs w:val="18"/>
              </w:rPr>
              <w:t>Microsoft Dynamics CRM Server 2015</w:t>
            </w:r>
            <w:r w:rsidRPr="00A6721D">
              <w:rPr>
                <w:rFonts w:eastAsia="Calibri"/>
                <w:color w:val="58595B" w:themeColor="text1"/>
                <w:sz w:val="16"/>
                <w:szCs w:val="18"/>
              </w:rPr>
              <w:fldChar w:fldCharType="begin"/>
            </w:r>
            <w:r w:rsidRPr="00A6721D">
              <w:rPr>
                <w:rFonts w:eastAsia="Calibri"/>
                <w:color w:val="58595B" w:themeColor="text1"/>
                <w:sz w:val="16"/>
                <w:szCs w:val="18"/>
              </w:rPr>
              <w:instrText>XE "Microsoft Dynamics CRM Server 2015"</w:instrText>
            </w:r>
            <w:r w:rsidRPr="00A6721D">
              <w:rPr>
                <w:rFonts w:eastAsia="Calibri"/>
                <w:color w:val="58595B" w:themeColor="text1"/>
                <w:sz w:val="16"/>
                <w:szCs w:val="18"/>
              </w:rPr>
              <w:fldChar w:fldCharType="end"/>
            </w:r>
            <w:r w:rsidRPr="00A6721D">
              <w:rPr>
                <w:rFonts w:eastAsia="Calibri"/>
                <w:color w:val="58595B" w:themeColor="text1"/>
                <w:sz w:val="16"/>
                <w:szCs w:val="18"/>
              </w:rPr>
              <w:t xml:space="preserve">, </w:t>
            </w:r>
            <w:r>
              <w:rPr>
                <w:rFonts w:eastAsia="Calibri"/>
                <w:color w:val="58595B" w:themeColor="text1"/>
                <w:sz w:val="16"/>
                <w:szCs w:val="18"/>
              </w:rPr>
              <w:t>Licenza di Gestione Server per System Center 2012 Standard</w:t>
            </w:r>
            <w:r>
              <w:fldChar w:fldCharType="begin"/>
            </w:r>
            <w:r>
              <w:instrText>XE "System Center 2012 Standard"</w:instrText>
            </w:r>
            <w:r>
              <w:fldChar w:fldCharType="end"/>
            </w:r>
            <w:r>
              <w:rPr>
                <w:rFonts w:eastAsia="Calibri"/>
                <w:color w:val="58595B" w:themeColor="text1"/>
                <w:sz w:val="16"/>
                <w:szCs w:val="18"/>
              </w:rPr>
              <w:t xml:space="preserve"> (2 processori), Visual Studio Professional con MSDN e Visual Studio Test Professional con MSDN</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rsidTr="00DF41D5">
        <w:trPr>
          <w:trHeight w:val="45"/>
        </w:trPr>
        <w:tc>
          <w:tcPr>
            <w:tcW w:w="9995" w:type="dxa"/>
            <w:shd w:val="clear" w:color="auto" w:fill="FFFFFF"/>
            <w:tcMar>
              <w:top w:w="15" w:type="dxa"/>
              <w:left w:w="108" w:type="dxa"/>
              <w:bottom w:w="0" w:type="dxa"/>
              <w:right w:w="108" w:type="dxa"/>
            </w:tcMar>
          </w:tcPr>
          <w:p w:rsidR="00405B6B" w:rsidRPr="00226F00" w:rsidRDefault="00405B6B" w:rsidP="00E16B45">
            <w:pPr>
              <w:pStyle w:val="ProductList-Body"/>
              <w:rPr>
                <w:color w:val="58595B" w:themeColor="text1"/>
                <w:sz w:val="16"/>
                <w:szCs w:val="18"/>
                <w:lang w:val="en-US"/>
              </w:rPr>
            </w:pPr>
            <w:r w:rsidRPr="00226F00">
              <w:rPr>
                <w:rFonts w:eastAsia="Calibri"/>
                <w:color w:val="58595B" w:themeColor="text1"/>
                <w:sz w:val="16"/>
                <w:szCs w:val="18"/>
                <w:lang w:val="en-US"/>
              </w:rPr>
              <w:t xml:space="preserve">SQL Server Enterprise Edition, </w:t>
            </w:r>
            <w:r w:rsidRPr="00226F00">
              <w:rPr>
                <w:color w:val="58595B" w:themeColor="text1"/>
                <w:sz w:val="16"/>
                <w:szCs w:val="18"/>
                <w:lang w:val="en-US"/>
              </w:rPr>
              <w:t xml:space="preserve">SQL Server Business Intelligence, </w:t>
            </w:r>
            <w:r w:rsidRPr="00226F00">
              <w:rPr>
                <w:rFonts w:eastAsia="Calibri"/>
                <w:color w:val="58595B" w:themeColor="text1"/>
                <w:sz w:val="16"/>
                <w:szCs w:val="18"/>
                <w:lang w:val="en-US"/>
              </w:rPr>
              <w:t>Windows Server Enterprise Edition e Visual Studio Premium con MSDN</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rsidTr="00DF41D5">
        <w:trPr>
          <w:trHeight w:val="45"/>
        </w:trPr>
        <w:tc>
          <w:tcPr>
            <w:tcW w:w="9995"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Edition, SQL Parallel Data Warehouse, Windows Server Data Center Edition, Licenza di Gestione Server per System Center 2012 Datacenter</w:t>
            </w:r>
            <w:r>
              <w:fldChar w:fldCharType="begin"/>
            </w:r>
            <w:r>
              <w:instrText>XE "System Center 2012 Datacenter"</w:instrText>
            </w:r>
            <w:r>
              <w:fldChar w:fldCharType="end"/>
            </w:r>
            <w:r>
              <w:rPr>
                <w:rFonts w:eastAsia="Calibri"/>
                <w:color w:val="58595B" w:themeColor="text1"/>
                <w:sz w:val="16"/>
                <w:szCs w:val="18"/>
              </w:rPr>
              <w:t xml:space="preserve"> (2 processori) e Visual Studio Ultimate con MSDN</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rsidR="00405B6B" w:rsidRPr="00CA772A" w:rsidRDefault="00405B6B" w:rsidP="002F2383">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w:t>
      </w:r>
      <w:r w:rsidR="002F2383">
        <w:rPr>
          <w:i/>
          <w:color w:val="58595B" w:themeColor="text1"/>
          <w:sz w:val="16"/>
          <w:szCs w:val="18"/>
        </w:rPr>
        <w:t>La</w:t>
      </w:r>
      <w:r>
        <w:rPr>
          <w:i/>
          <w:color w:val="58595B" w:themeColor="text1"/>
          <w:sz w:val="16"/>
          <w:szCs w:val="18"/>
        </w:rPr>
        <w:t xml:space="preserve"> Professional CAL per Microsoft Dynamics CRM vengono assegnati due (2) punti</w:t>
      </w:r>
    </w:p>
    <w:p w:rsidR="00405B6B" w:rsidRPr="00CA772A" w:rsidRDefault="00405B6B" w:rsidP="00405B6B">
      <w:pPr>
        <w:pStyle w:val="ProductList-Body"/>
        <w:tabs>
          <w:tab w:val="clear" w:pos="158"/>
          <w:tab w:val="left" w:pos="180"/>
        </w:tabs>
      </w:pPr>
      <w:r>
        <w:rPr>
          <w:i/>
          <w:color w:val="58595B" w:themeColor="text1"/>
          <w:sz w:val="16"/>
          <w:szCs w:val="18"/>
        </w:rPr>
        <w:t>*Per la copertura SA per Core CAL Suite e CAL per SQL viene assegnato un (1) punto, per la copertura SA per Enterprise CAL Suite vengono assegnati due(2) punti</w:t>
      </w:r>
    </w:p>
    <w:p w:rsidR="0087328E" w:rsidRDefault="0087328E" w:rsidP="0087328E">
      <w:pPr>
        <w:pStyle w:val="Heading2"/>
        <w:keepNext w:val="0"/>
        <w:keepLines w:val="0"/>
      </w:pPr>
      <w:bookmarkStart w:id="22" w:name="_New_Version_Rights"/>
      <w:bookmarkStart w:id="23" w:name="_Office_Multi_Language"/>
      <w:bookmarkStart w:id="24" w:name="_Office_Online"/>
      <w:bookmarkStart w:id="25" w:name="_Planning_Services"/>
      <w:bookmarkStart w:id="26" w:name="_Toc403380303"/>
      <w:bookmarkStart w:id="27" w:name="_Toc416105614"/>
      <w:bookmarkEnd w:id="22"/>
      <w:bookmarkEnd w:id="23"/>
      <w:bookmarkEnd w:id="24"/>
      <w:bookmarkEnd w:id="25"/>
    </w:p>
    <w:p w:rsidR="00270FD7" w:rsidRPr="00CA772A" w:rsidRDefault="00270FD7" w:rsidP="00A6721D">
      <w:pPr>
        <w:pStyle w:val="Heading2"/>
      </w:pPr>
      <w:bookmarkStart w:id="28" w:name="_Planning_Services_1"/>
      <w:bookmarkEnd w:id="28"/>
      <w:r>
        <w:lastRenderedPageBreak/>
        <w:t>Planning Services</w:t>
      </w:r>
      <w:bookmarkEnd w:id="26"/>
      <w:bookmarkEnd w:id="27"/>
    </w:p>
    <w:p w:rsidR="00B96105" w:rsidRPr="00CA772A" w:rsidRDefault="00461D21" w:rsidP="0087328E">
      <w:pPr>
        <w:pStyle w:val="ProductList-Body"/>
      </w:pPr>
      <w:r>
        <w:rPr>
          <w:color w:val="58595B" w:themeColor="text1"/>
          <w:szCs w:val="18"/>
        </w:rPr>
        <w:t>Qualora la società abbia scelto Partecipazione a Software Assurance (SAM) nel Pool di Applicazioni e/o di Server, è idonea a ricevere questo vantaggio.</w:t>
      </w:r>
      <w:r w:rsidR="00F659C4">
        <w:rPr>
          <w:color w:val="58595B" w:themeColor="text1"/>
          <w:szCs w:val="18"/>
        </w:rPr>
        <w:t xml:space="preserve"> </w:t>
      </w:r>
      <w:r>
        <w:rPr>
          <w:color w:val="58595B" w:themeColor="text1"/>
          <w:szCs w:val="18"/>
        </w:rPr>
        <w:t>Il vantaggio Planning Services mette a disposizione della società le offerte di servizi personalizzati predeterminati descritti all</w:t>
      </w:r>
      <w:r w:rsidR="00D1524D">
        <w:rPr>
          <w:color w:val="58595B" w:themeColor="text1"/>
          <w:szCs w:val="18"/>
        </w:rPr>
        <w:t>’</w:t>
      </w:r>
      <w:r>
        <w:rPr>
          <w:color w:val="58595B" w:themeColor="text1"/>
          <w:szCs w:val="18"/>
        </w:rPr>
        <w:t xml:space="preserve">indirizzo </w:t>
      </w:r>
      <w:hyperlink r:id="rId20" w:history="1">
        <w:r>
          <w:rPr>
            <w:rStyle w:val="Hyperlink"/>
          </w:rPr>
          <w:t>http://www.microsoft.com/licensing/software-assurance/planning-services-overview.aspx</w:t>
        </w:r>
      </w:hyperlink>
      <w:r>
        <w:rPr>
          <w:color w:val="58595B" w:themeColor="text1"/>
          <w:szCs w:val="18"/>
        </w:rPr>
        <w:t>.</w:t>
      </w:r>
      <w:r w:rsidR="00F659C4">
        <w:rPr>
          <w:color w:val="58595B" w:themeColor="text1"/>
          <w:szCs w:val="18"/>
        </w:rPr>
        <w:t xml:space="preserve"> </w:t>
      </w:r>
      <w:r>
        <w:rPr>
          <w:color w:val="58595B" w:themeColor="text1"/>
          <w:szCs w:val="18"/>
        </w:rPr>
        <w:t>L</w:t>
      </w:r>
      <w:r w:rsidR="00D1524D">
        <w:rPr>
          <w:color w:val="58595B" w:themeColor="text1"/>
          <w:szCs w:val="18"/>
        </w:rPr>
        <w:t>’</w:t>
      </w:r>
      <w:r>
        <w:rPr>
          <w:color w:val="58595B" w:themeColor="text1"/>
          <w:szCs w:val="18"/>
        </w:rPr>
        <w:t xml:space="preserve">elenco dei servizi disponibili e dei livelli di servizi associati potrà cambiare in qualsiasi momento. </w:t>
      </w:r>
      <w:r>
        <w:rPr>
          <w:rFonts w:ascii="Segoe UI" w:hAnsi="Segoe UI"/>
          <w:color w:val="58595B" w:themeColor="text1"/>
          <w:szCs w:val="18"/>
        </w:rPr>
        <w:t>I Partner dei Planning Services (che si trovano all</w:t>
      </w:r>
      <w:r w:rsidR="00D1524D">
        <w:rPr>
          <w:rFonts w:ascii="Segoe UI" w:hAnsi="Segoe UI"/>
          <w:color w:val="58595B" w:themeColor="text1"/>
          <w:szCs w:val="18"/>
        </w:rPr>
        <w:t>’</w:t>
      </w:r>
      <w:r>
        <w:rPr>
          <w:rFonts w:ascii="Segoe UI" w:hAnsi="Segoe UI"/>
          <w:color w:val="58595B" w:themeColor="text1"/>
          <w:szCs w:val="18"/>
        </w:rPr>
        <w:t xml:space="preserve">indirizzo </w:t>
      </w:r>
      <w:hyperlink r:id="rId21"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forniranno alla società su sua richiesta uno schema dell</w:t>
      </w:r>
      <w:r w:rsidR="00D1524D">
        <w:rPr>
          <w:color w:val="58595B" w:themeColor="text1"/>
          <w:szCs w:val="18"/>
        </w:rPr>
        <w:t>’</w:t>
      </w:r>
      <w:r>
        <w:rPr>
          <w:color w:val="58595B" w:themeColor="text1"/>
          <w:szCs w:val="18"/>
        </w:rPr>
        <w:t>Ambito di Lavoro disponibile per ciascuna delle offerte di servizi di cui sopra.</w:t>
      </w:r>
      <w:r w:rsidR="00F659C4">
        <w:rPr>
          <w:color w:val="58595B" w:themeColor="text1"/>
          <w:szCs w:val="18"/>
        </w:rPr>
        <w:t xml:space="preserve"> </w:t>
      </w:r>
      <w:r>
        <w:rPr>
          <w:color w:val="58595B" w:themeColor="text1"/>
          <w:szCs w:val="18"/>
        </w:rPr>
        <w:t xml:space="preserve">La società potrà selezionare una o più offerte, nonché scegliere dai livelli di servizi fino al numero di Giorni Planning Services disponibili.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270FD7" w:rsidRPr="00CA772A" w:rsidRDefault="00E85D19" w:rsidP="00270FD7">
      <w:r>
        <w:rPr>
          <w:color w:val="58595B" w:themeColor="text1"/>
          <w:szCs w:val="18"/>
        </w:rPr>
        <w:t>Quando la società si qualifica, riceve un numero di Giorni Planning Services basato sul numero di licenze qualificanti per le Applicazioni Office, di licenze qualificanti Server e di Core CAL Suite, CAL per SQL ed Enterprise CAL Suite per le quali è stata acquistata la copertura SA.</w:t>
      </w:r>
      <w:r w:rsidR="00F659C4">
        <w:rPr>
          <w:color w:val="58595B" w:themeColor="text1"/>
          <w:szCs w:val="18"/>
        </w:rPr>
        <w:t xml:space="preserve"> </w:t>
      </w:r>
      <w:r>
        <w:rPr>
          <w:color w:val="58595B" w:themeColor="text1"/>
          <w:szCs w:val="18"/>
        </w:rPr>
        <w:t xml:space="preserve">Il numero di giorni che una società riceve per le offerte di Planning Services disponibili viene combinato a un pool di Giorni Planning Services per ciascun Account per gli Acquisti. </w:t>
      </w:r>
    </w:p>
    <w:p w:rsidR="00BC043A" w:rsidRPr="00CA772A" w:rsidRDefault="00BC043A" w:rsidP="00270FD7">
      <w:pPr>
        <w:pStyle w:val="ProductList-Body"/>
      </w:pPr>
    </w:p>
    <w:p w:rsidR="00270FD7" w:rsidRPr="00CA772A" w:rsidRDefault="00270FD7" w:rsidP="00270FD7">
      <w:pPr>
        <w:pStyle w:val="ProductList-Body"/>
      </w:pPr>
      <w:r>
        <w:rPr>
          <w:rFonts w:ascii="Segoe UI" w:hAnsi="Segoe UI"/>
          <w:color w:val="58595B" w:themeColor="text1"/>
          <w:szCs w:val="18"/>
        </w:rPr>
        <w:t>Il numero di Giorni Planning Services ai quali la società è autorizzata si basa sui punti totali calcolati guadagnati attraverso l</w:t>
      </w:r>
      <w:r w:rsidR="00D1524D">
        <w:rPr>
          <w:rFonts w:ascii="Segoe UI" w:hAnsi="Segoe UI"/>
          <w:color w:val="58595B" w:themeColor="text1"/>
          <w:szCs w:val="18"/>
        </w:rPr>
        <w:t>’</w:t>
      </w:r>
      <w:r>
        <w:rPr>
          <w:rFonts w:ascii="Segoe UI" w:hAnsi="Segoe UI"/>
          <w:color w:val="58595B" w:themeColor="text1"/>
          <w:szCs w:val="18"/>
        </w:rPr>
        <w:t>Account per gli Acquisti, come indicato di seguito (la società potrà fare riferimento all</w:t>
      </w:r>
      <w:r w:rsidR="00D1524D">
        <w:rPr>
          <w:rFonts w:ascii="Segoe UI" w:hAnsi="Segoe UI"/>
          <w:color w:val="58595B" w:themeColor="text1"/>
          <w:szCs w:val="18"/>
        </w:rPr>
        <w:t>’</w:t>
      </w:r>
      <w:r>
        <w:rPr>
          <w:rFonts w:ascii="Segoe UI" w:hAnsi="Segoe UI"/>
          <w:color w:val="58595B" w:themeColor="text1"/>
          <w:szCs w:val="18"/>
        </w:rPr>
        <w:t>Articolo “Calcolo dei Punti per i Vantaggi di Software Assurance per il Contratto MPSA” del presente documento per conoscere come vengono calcolati i punti per i Vantaggi di SA):</w:t>
      </w:r>
    </w:p>
    <w:p w:rsidR="00D814DA" w:rsidRPr="00CA772A" w:rsidRDefault="00D814DA" w:rsidP="00270FD7">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DD2780">
        <w:trPr>
          <w:trHeight w:val="226"/>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Punti per le Licenze per Applicazioni Office e/o Server con SAM</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Giorni Planning Services</w:t>
            </w:r>
          </w:p>
        </w:tc>
      </w:tr>
      <w:tr w:rsidR="00D814DA" w:rsidRPr="005B13F2" w:rsidTr="00DD2780">
        <w:trPr>
          <w:trHeight w:val="127"/>
        </w:trPr>
        <w:tc>
          <w:tcPr>
            <w:tcW w:w="5265" w:type="dxa"/>
            <w:shd w:val="clear" w:color="auto" w:fill="FFFFFF"/>
            <w:tcMar>
              <w:top w:w="15" w:type="dxa"/>
              <w:left w:w="108" w:type="dxa"/>
              <w:bottom w:w="0" w:type="dxa"/>
              <w:right w:w="108" w:type="dxa"/>
            </w:tcMar>
          </w:tcPr>
          <w:p w:rsidR="00D814DA" w:rsidRPr="00D814DA" w:rsidRDefault="00D814DA" w:rsidP="00141526">
            <w:pPr>
              <w:pStyle w:val="ProductList-Body"/>
              <w:rPr>
                <w:color w:val="58595B" w:themeColor="text1"/>
                <w:szCs w:val="18"/>
              </w:rPr>
            </w:pPr>
            <w:r>
              <w:rPr>
                <w:color w:val="58595B" w:themeColor="text1"/>
                <w:szCs w:val="18"/>
              </w:rPr>
              <w:t>200</w:t>
            </w:r>
            <w:r w:rsidR="00DD2780">
              <w:rPr>
                <w:color w:val="58595B" w:themeColor="text1"/>
                <w:szCs w:val="18"/>
              </w:rPr>
              <w:t xml:space="preserve"> – </w:t>
            </w:r>
            <w:r>
              <w:rPr>
                <w:color w:val="58595B" w:themeColor="text1"/>
                <w:szCs w:val="18"/>
              </w:rPr>
              <w:t>499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rsidTr="00DD2780">
        <w:trPr>
          <w:trHeight w:val="45"/>
        </w:trPr>
        <w:tc>
          <w:tcPr>
            <w:tcW w:w="5265" w:type="dxa"/>
            <w:shd w:val="clear" w:color="auto" w:fill="FFFFFF"/>
            <w:tcMar>
              <w:top w:w="15" w:type="dxa"/>
              <w:left w:w="108" w:type="dxa"/>
              <w:bottom w:w="0" w:type="dxa"/>
              <w:right w:w="108" w:type="dxa"/>
            </w:tcMar>
          </w:tcPr>
          <w:p w:rsidR="00D814DA" w:rsidRPr="00D814DA" w:rsidRDefault="00D814DA" w:rsidP="00387123">
            <w:pPr>
              <w:pStyle w:val="ProductList-Body"/>
              <w:rPr>
                <w:color w:val="58595B" w:themeColor="text1"/>
                <w:szCs w:val="18"/>
              </w:rPr>
            </w:pPr>
            <w:r>
              <w:rPr>
                <w:color w:val="58595B" w:themeColor="text1"/>
                <w:szCs w:val="18"/>
              </w:rPr>
              <w:t>500</w:t>
            </w:r>
            <w:r w:rsidR="00DD2780">
              <w:rPr>
                <w:color w:val="58595B" w:themeColor="text1"/>
                <w:szCs w:val="18"/>
              </w:rPr>
              <w:t xml:space="preserve"> – </w:t>
            </w:r>
            <w:r>
              <w:rPr>
                <w:color w:val="58595B" w:themeColor="text1"/>
                <w:szCs w:val="18"/>
              </w:rPr>
              <w:t>1</w:t>
            </w:r>
            <w:r w:rsidR="00387123">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rsidTr="00DD2780">
        <w:trPr>
          <w:trHeight w:val="45"/>
        </w:trPr>
        <w:tc>
          <w:tcPr>
            <w:tcW w:w="5265" w:type="dxa"/>
            <w:shd w:val="clear" w:color="auto" w:fill="FFFFFF"/>
            <w:tcMar>
              <w:top w:w="15" w:type="dxa"/>
              <w:left w:w="108" w:type="dxa"/>
              <w:bottom w:w="0" w:type="dxa"/>
              <w:right w:w="108" w:type="dxa"/>
            </w:tcMar>
          </w:tcPr>
          <w:p w:rsidR="00D814DA" w:rsidRPr="00D814DA" w:rsidRDefault="00F16F17" w:rsidP="00A6721D">
            <w:pPr>
              <w:pStyle w:val="ProductList-Body"/>
              <w:rPr>
                <w:color w:val="58595B" w:themeColor="text1"/>
                <w:szCs w:val="18"/>
              </w:rPr>
            </w:pPr>
            <w:r>
              <w:rPr>
                <w:color w:val="58595B" w:themeColor="text1"/>
                <w:szCs w:val="18"/>
              </w:rPr>
              <w:t>2.</w:t>
            </w:r>
            <w:r w:rsidR="00D814DA">
              <w:rPr>
                <w:color w:val="58595B" w:themeColor="text1"/>
                <w:szCs w:val="18"/>
              </w:rPr>
              <w:t>000</w:t>
            </w:r>
            <w:r w:rsidR="00DD2780">
              <w:rPr>
                <w:color w:val="58595B" w:themeColor="text1"/>
                <w:szCs w:val="18"/>
              </w:rPr>
              <w:t xml:space="preserve"> – </w:t>
            </w:r>
            <w:r w:rsidR="00D814DA">
              <w:rPr>
                <w:color w:val="58595B" w:themeColor="text1"/>
                <w:szCs w:val="18"/>
              </w:rPr>
              <w:t>3</w:t>
            </w:r>
            <w:r w:rsidR="00A6721D">
              <w:rPr>
                <w:color w:val="58595B" w:themeColor="text1"/>
                <w:szCs w:val="18"/>
              </w:rPr>
              <w:t>.</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rsidTr="00DD2780">
        <w:trPr>
          <w:trHeight w:val="45"/>
        </w:trPr>
        <w:tc>
          <w:tcPr>
            <w:tcW w:w="5265" w:type="dxa"/>
            <w:shd w:val="clear" w:color="auto" w:fill="FFFFFF"/>
            <w:tcMar>
              <w:top w:w="15" w:type="dxa"/>
              <w:left w:w="108" w:type="dxa"/>
              <w:bottom w:w="0" w:type="dxa"/>
              <w:right w:w="108" w:type="dxa"/>
            </w:tcMar>
          </w:tcPr>
          <w:p w:rsidR="00D814DA" w:rsidRPr="00D814DA" w:rsidRDefault="00F16F17" w:rsidP="00A6721D">
            <w:pPr>
              <w:pStyle w:val="ProductList-Body"/>
              <w:rPr>
                <w:color w:val="58595B" w:themeColor="text1"/>
                <w:szCs w:val="18"/>
              </w:rPr>
            </w:pPr>
            <w:r>
              <w:rPr>
                <w:color w:val="58595B" w:themeColor="text1"/>
                <w:szCs w:val="18"/>
              </w:rPr>
              <w:t>4.</w:t>
            </w:r>
            <w:r w:rsidR="00D814DA">
              <w:rPr>
                <w:color w:val="58595B" w:themeColor="text1"/>
                <w:szCs w:val="18"/>
              </w:rPr>
              <w:t>000 – 29</w:t>
            </w:r>
            <w:r w:rsidR="00A6721D">
              <w:rPr>
                <w:color w:val="58595B" w:themeColor="text1"/>
                <w:szCs w:val="18"/>
              </w:rPr>
              <w:t>.</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rsidTr="00DD2780">
        <w:trPr>
          <w:trHeight w:val="45"/>
        </w:trPr>
        <w:tc>
          <w:tcPr>
            <w:tcW w:w="5265" w:type="dxa"/>
            <w:shd w:val="clear" w:color="auto" w:fill="FFFFFF"/>
            <w:tcMar>
              <w:top w:w="15" w:type="dxa"/>
              <w:left w:w="108" w:type="dxa"/>
              <w:bottom w:w="0" w:type="dxa"/>
              <w:right w:w="108" w:type="dxa"/>
            </w:tcMar>
          </w:tcPr>
          <w:p w:rsidR="00D814DA" w:rsidRPr="00D814DA" w:rsidRDefault="00D814DA" w:rsidP="00A6721D">
            <w:pPr>
              <w:pStyle w:val="ProductList-Body"/>
              <w:rPr>
                <w:color w:val="58595B" w:themeColor="text1"/>
                <w:szCs w:val="18"/>
              </w:rPr>
            </w:pPr>
            <w:r>
              <w:rPr>
                <w:color w:val="58595B" w:themeColor="text1"/>
                <w:szCs w:val="18"/>
              </w:rPr>
              <w:t>30</w:t>
            </w:r>
            <w:r w:rsidR="00F16F17">
              <w:rPr>
                <w:color w:val="58595B" w:themeColor="text1"/>
                <w:szCs w:val="18"/>
              </w:rPr>
              <w:t>.</w:t>
            </w:r>
            <w:r>
              <w:rPr>
                <w:color w:val="58595B" w:themeColor="text1"/>
                <w:szCs w:val="18"/>
              </w:rPr>
              <w:t>000 – 49</w:t>
            </w:r>
            <w:r w:rsidR="00A6721D">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rsidTr="00DD2780">
        <w:trPr>
          <w:trHeight w:val="45"/>
        </w:trPr>
        <w:tc>
          <w:tcPr>
            <w:tcW w:w="5265" w:type="dxa"/>
            <w:shd w:val="clear" w:color="auto" w:fill="FFFFFF"/>
            <w:tcMar>
              <w:top w:w="15" w:type="dxa"/>
              <w:left w:w="108" w:type="dxa"/>
              <w:bottom w:w="0" w:type="dxa"/>
              <w:right w:w="108" w:type="dxa"/>
            </w:tcMar>
          </w:tcPr>
          <w:p w:rsidR="00D814DA" w:rsidRPr="00D814DA" w:rsidRDefault="00F16F17" w:rsidP="00A6721D">
            <w:pPr>
              <w:pStyle w:val="ProductList-Body"/>
              <w:rPr>
                <w:color w:val="58595B" w:themeColor="text1"/>
                <w:szCs w:val="18"/>
              </w:rPr>
            </w:pPr>
            <w:r>
              <w:rPr>
                <w:color w:val="58595B" w:themeColor="text1"/>
                <w:szCs w:val="18"/>
              </w:rPr>
              <w:t>50.</w:t>
            </w:r>
            <w:r w:rsidR="00D814DA">
              <w:rPr>
                <w:color w:val="58595B" w:themeColor="text1"/>
                <w:szCs w:val="18"/>
              </w:rPr>
              <w:t>000 – 99</w:t>
            </w:r>
            <w:r w:rsidR="00A6721D">
              <w:rPr>
                <w:color w:val="58595B" w:themeColor="text1"/>
                <w:szCs w:val="18"/>
              </w:rPr>
              <w:t>.</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rsidTr="00DD2780">
        <w:trPr>
          <w:trHeight w:val="45"/>
        </w:trPr>
        <w:tc>
          <w:tcPr>
            <w:tcW w:w="5265" w:type="dxa"/>
            <w:shd w:val="clear" w:color="auto" w:fill="FFFFFF"/>
            <w:tcMar>
              <w:top w:w="15" w:type="dxa"/>
              <w:left w:w="108" w:type="dxa"/>
              <w:bottom w:w="0" w:type="dxa"/>
              <w:right w:w="108" w:type="dxa"/>
            </w:tcMar>
          </w:tcPr>
          <w:p w:rsidR="00D814DA" w:rsidRPr="00D814DA" w:rsidRDefault="00F16F17" w:rsidP="00A6721D">
            <w:pPr>
              <w:pStyle w:val="ProductList-Body"/>
              <w:rPr>
                <w:color w:val="58595B" w:themeColor="text1"/>
                <w:szCs w:val="18"/>
              </w:rPr>
            </w:pPr>
            <w:r>
              <w:rPr>
                <w:color w:val="58595B" w:themeColor="text1"/>
                <w:szCs w:val="18"/>
              </w:rPr>
              <w:t>100.</w:t>
            </w:r>
            <w:r w:rsidR="00D814DA">
              <w:rPr>
                <w:color w:val="58595B" w:themeColor="text1"/>
                <w:szCs w:val="18"/>
              </w:rPr>
              <w:t>000 – 199</w:t>
            </w:r>
            <w:r w:rsidR="00A6721D">
              <w:rPr>
                <w:color w:val="58595B" w:themeColor="text1"/>
                <w:szCs w:val="18"/>
              </w:rPr>
              <w:t>.</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rsidTr="00DD2780">
        <w:trPr>
          <w:trHeight w:val="45"/>
        </w:trPr>
        <w:tc>
          <w:tcPr>
            <w:tcW w:w="5265" w:type="dxa"/>
            <w:shd w:val="clear" w:color="auto" w:fill="FFFFFF"/>
            <w:tcMar>
              <w:top w:w="15" w:type="dxa"/>
              <w:left w:w="108" w:type="dxa"/>
              <w:bottom w:w="0" w:type="dxa"/>
              <w:right w:w="108" w:type="dxa"/>
            </w:tcMar>
          </w:tcPr>
          <w:p w:rsidR="00D814DA" w:rsidRPr="00D814DA" w:rsidRDefault="00F16F17" w:rsidP="00A6721D">
            <w:pPr>
              <w:pStyle w:val="ProductList-Body"/>
              <w:rPr>
                <w:color w:val="58595B" w:themeColor="text1"/>
                <w:szCs w:val="18"/>
              </w:rPr>
            </w:pPr>
            <w:r>
              <w:rPr>
                <w:color w:val="58595B" w:themeColor="text1"/>
                <w:szCs w:val="18"/>
              </w:rPr>
              <w:t>200.</w:t>
            </w:r>
            <w:r w:rsidR="00D814DA">
              <w:rPr>
                <w:color w:val="58595B" w:themeColor="text1"/>
                <w:szCs w:val="18"/>
              </w:rPr>
              <w:t>000 – 399</w:t>
            </w:r>
            <w:r w:rsidR="00A6721D">
              <w:rPr>
                <w:color w:val="58595B" w:themeColor="text1"/>
                <w:szCs w:val="18"/>
              </w:rPr>
              <w:t>.</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rsidTr="00DD2780">
        <w:trPr>
          <w:trHeight w:val="45"/>
        </w:trPr>
        <w:tc>
          <w:tcPr>
            <w:tcW w:w="5265" w:type="dxa"/>
            <w:shd w:val="clear" w:color="auto" w:fill="FFFFFF"/>
            <w:tcMar>
              <w:top w:w="15" w:type="dxa"/>
              <w:left w:w="108" w:type="dxa"/>
              <w:bottom w:w="0" w:type="dxa"/>
              <w:right w:w="108" w:type="dxa"/>
            </w:tcMar>
          </w:tcPr>
          <w:p w:rsidR="00D814DA" w:rsidRPr="00D814DA" w:rsidRDefault="00F16F17" w:rsidP="00A6721D">
            <w:pPr>
              <w:pStyle w:val="ProductList-Body"/>
              <w:rPr>
                <w:color w:val="58595B" w:themeColor="text1"/>
                <w:szCs w:val="18"/>
              </w:rPr>
            </w:pPr>
            <w:r>
              <w:rPr>
                <w:color w:val="58595B" w:themeColor="text1"/>
                <w:szCs w:val="18"/>
              </w:rPr>
              <w:t>400.</w:t>
            </w:r>
            <w:r w:rsidR="00D814DA">
              <w:rPr>
                <w:color w:val="58595B" w:themeColor="text1"/>
                <w:szCs w:val="18"/>
              </w:rPr>
              <w:t>000 – 599</w:t>
            </w:r>
            <w:r w:rsidR="00A6721D">
              <w:rPr>
                <w:color w:val="58595B" w:themeColor="text1"/>
                <w:szCs w:val="18"/>
              </w:rPr>
              <w:t>.</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rsidTr="00DD2780">
        <w:trPr>
          <w:trHeight w:val="45"/>
        </w:trPr>
        <w:tc>
          <w:tcPr>
            <w:tcW w:w="5265" w:type="dxa"/>
            <w:shd w:val="clear" w:color="auto" w:fill="FFFFFF"/>
            <w:tcMar>
              <w:top w:w="15" w:type="dxa"/>
              <w:left w:w="108" w:type="dxa"/>
              <w:bottom w:w="0" w:type="dxa"/>
              <w:right w:w="108" w:type="dxa"/>
            </w:tcMar>
          </w:tcPr>
          <w:p w:rsidR="00D814DA" w:rsidRPr="00D814DA" w:rsidRDefault="00F16F17" w:rsidP="00141526">
            <w:pPr>
              <w:pStyle w:val="ProductList-Body"/>
              <w:rPr>
                <w:color w:val="58595B" w:themeColor="text1"/>
                <w:szCs w:val="18"/>
              </w:rPr>
            </w:pPr>
            <w:r>
              <w:rPr>
                <w:color w:val="58595B" w:themeColor="text1"/>
                <w:szCs w:val="18"/>
              </w:rPr>
              <w:t>600.</w:t>
            </w:r>
            <w:r w:rsidR="00D814DA">
              <w:rPr>
                <w:color w:val="58595B" w:themeColor="text1"/>
                <w:szCs w:val="18"/>
              </w:rPr>
              <w:t>000 +</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75</w:t>
            </w:r>
          </w:p>
        </w:tc>
      </w:tr>
    </w:tbl>
    <w:p w:rsidR="00D814DA" w:rsidRPr="00CA772A" w:rsidRDefault="00D814DA" w:rsidP="00D814DA">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2A1566">
        <w:trPr>
          <w:trHeight w:val="172"/>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Punti per le CAL Suites con SAM</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Giorni Planning Services </w:t>
            </w:r>
          </w:p>
        </w:tc>
      </w:tr>
      <w:tr w:rsidR="00D814DA" w:rsidRPr="005B13F2" w:rsidTr="002A1566">
        <w:trPr>
          <w:trHeight w:val="235"/>
        </w:trPr>
        <w:tc>
          <w:tcPr>
            <w:tcW w:w="5265" w:type="dxa"/>
            <w:shd w:val="clear" w:color="auto" w:fill="FFFFFF"/>
            <w:tcMar>
              <w:top w:w="15" w:type="dxa"/>
              <w:left w:w="108" w:type="dxa"/>
              <w:bottom w:w="0" w:type="dxa"/>
              <w:right w:w="108" w:type="dxa"/>
            </w:tcMar>
          </w:tcPr>
          <w:p w:rsidR="00D814DA" w:rsidRPr="00C144DF" w:rsidRDefault="00D814DA" w:rsidP="00A6721D">
            <w:pPr>
              <w:pStyle w:val="ProductList-Body"/>
              <w:rPr>
                <w:rFonts w:cstheme="minorHAnsi"/>
                <w:color w:val="58595B" w:themeColor="text1"/>
                <w:szCs w:val="18"/>
              </w:rPr>
            </w:pPr>
            <w:r>
              <w:rPr>
                <w:rFonts w:cstheme="minorHAnsi"/>
                <w:color w:val="58595B" w:themeColor="text1"/>
                <w:szCs w:val="18"/>
              </w:rPr>
              <w:t>200</w:t>
            </w:r>
            <w:r w:rsidR="00DD2780">
              <w:rPr>
                <w:color w:val="58595B" w:themeColor="text1"/>
                <w:szCs w:val="18"/>
              </w:rPr>
              <w:t xml:space="preserve"> – </w:t>
            </w:r>
            <w:r>
              <w:rPr>
                <w:rFonts w:cstheme="minorHAnsi"/>
                <w:color w:val="58595B" w:themeColor="text1"/>
                <w:szCs w:val="18"/>
              </w:rPr>
              <w:t>3</w:t>
            </w:r>
            <w:r w:rsidR="00A6721D">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rsidTr="002A1566">
        <w:trPr>
          <w:trHeight w:val="55"/>
        </w:trPr>
        <w:tc>
          <w:tcPr>
            <w:tcW w:w="5265" w:type="dxa"/>
            <w:shd w:val="clear" w:color="auto" w:fill="FFFFFF"/>
            <w:tcMar>
              <w:top w:w="15" w:type="dxa"/>
              <w:left w:w="108" w:type="dxa"/>
              <w:bottom w:w="0" w:type="dxa"/>
              <w:right w:w="108" w:type="dxa"/>
            </w:tcMar>
          </w:tcPr>
          <w:p w:rsidR="00D814DA" w:rsidRPr="00C144DF" w:rsidRDefault="00F16F17" w:rsidP="00A6721D">
            <w:pPr>
              <w:pStyle w:val="ProductList-Body"/>
              <w:rPr>
                <w:rFonts w:cstheme="minorHAnsi"/>
                <w:color w:val="58595B" w:themeColor="text1"/>
                <w:szCs w:val="18"/>
              </w:rPr>
            </w:pPr>
            <w:r>
              <w:rPr>
                <w:rFonts w:cstheme="minorHAnsi"/>
                <w:color w:val="58595B" w:themeColor="text1"/>
                <w:szCs w:val="18"/>
              </w:rPr>
              <w:t>4.</w:t>
            </w:r>
            <w:r w:rsidR="00D814DA">
              <w:rPr>
                <w:rFonts w:cstheme="minorHAnsi"/>
                <w:color w:val="58595B" w:themeColor="text1"/>
                <w:szCs w:val="18"/>
              </w:rPr>
              <w:t>000 – 9</w:t>
            </w:r>
            <w:r w:rsidR="00A6721D">
              <w:rPr>
                <w:rFonts w:cstheme="minorHAnsi"/>
                <w:color w:val="58595B" w:themeColor="text1"/>
                <w:szCs w:val="18"/>
              </w:rPr>
              <w:t>.</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rsidTr="002A1566">
        <w:trPr>
          <w:trHeight w:val="45"/>
        </w:trPr>
        <w:tc>
          <w:tcPr>
            <w:tcW w:w="5265" w:type="dxa"/>
            <w:shd w:val="clear" w:color="auto" w:fill="FFFFFF"/>
            <w:tcMar>
              <w:top w:w="15" w:type="dxa"/>
              <w:left w:w="108" w:type="dxa"/>
              <w:bottom w:w="0" w:type="dxa"/>
              <w:right w:w="108" w:type="dxa"/>
            </w:tcMar>
          </w:tcPr>
          <w:p w:rsidR="00D814DA" w:rsidRPr="00C144DF" w:rsidRDefault="00F16F17" w:rsidP="00A6721D">
            <w:pPr>
              <w:pStyle w:val="ProductList-Body"/>
              <w:rPr>
                <w:rFonts w:cstheme="minorHAnsi"/>
                <w:color w:val="58595B" w:themeColor="text1"/>
                <w:szCs w:val="18"/>
              </w:rPr>
            </w:pPr>
            <w:r>
              <w:rPr>
                <w:rFonts w:cstheme="minorHAnsi"/>
                <w:color w:val="58595B" w:themeColor="text1"/>
                <w:szCs w:val="18"/>
              </w:rPr>
              <w:t>10.</w:t>
            </w:r>
            <w:r w:rsidR="00D814DA">
              <w:rPr>
                <w:rFonts w:cstheme="minorHAnsi"/>
                <w:color w:val="58595B" w:themeColor="text1"/>
                <w:szCs w:val="18"/>
              </w:rPr>
              <w:t>000 – 99</w:t>
            </w:r>
            <w:r w:rsidR="00A6721D">
              <w:rPr>
                <w:rFonts w:cstheme="minorHAnsi"/>
                <w:color w:val="58595B" w:themeColor="text1"/>
                <w:szCs w:val="18"/>
              </w:rPr>
              <w:t>.</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rsidTr="002A1566">
        <w:trPr>
          <w:trHeight w:val="45"/>
        </w:trPr>
        <w:tc>
          <w:tcPr>
            <w:tcW w:w="5265" w:type="dxa"/>
            <w:shd w:val="clear" w:color="auto" w:fill="FFFFFF"/>
            <w:tcMar>
              <w:top w:w="15" w:type="dxa"/>
              <w:left w:w="108" w:type="dxa"/>
              <w:bottom w:w="0" w:type="dxa"/>
              <w:right w:w="108" w:type="dxa"/>
            </w:tcMar>
          </w:tcPr>
          <w:p w:rsidR="00D814DA" w:rsidRPr="00C144DF" w:rsidRDefault="00F16F17" w:rsidP="00A6721D">
            <w:pPr>
              <w:pStyle w:val="ProductList-Body"/>
              <w:rPr>
                <w:rFonts w:cstheme="minorHAnsi"/>
                <w:color w:val="58595B" w:themeColor="text1"/>
                <w:szCs w:val="18"/>
              </w:rPr>
            </w:pPr>
            <w:r>
              <w:rPr>
                <w:rFonts w:cstheme="minorHAnsi"/>
                <w:color w:val="58595B" w:themeColor="text1"/>
                <w:szCs w:val="18"/>
              </w:rPr>
              <w:t>100.</w:t>
            </w:r>
            <w:r w:rsidR="00D814DA">
              <w:rPr>
                <w:rFonts w:cstheme="minorHAnsi"/>
                <w:color w:val="58595B" w:themeColor="text1"/>
                <w:szCs w:val="18"/>
              </w:rPr>
              <w:t>000 – 299</w:t>
            </w:r>
            <w:r w:rsidR="00A6721D">
              <w:rPr>
                <w:rFonts w:cstheme="minorHAnsi"/>
                <w:color w:val="58595B" w:themeColor="text1"/>
                <w:szCs w:val="18"/>
              </w:rPr>
              <w:t>.</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rsidTr="002A1566">
        <w:trPr>
          <w:trHeight w:val="36"/>
        </w:trPr>
        <w:tc>
          <w:tcPr>
            <w:tcW w:w="5265" w:type="dxa"/>
            <w:shd w:val="clear" w:color="auto" w:fill="FFFFFF"/>
            <w:tcMar>
              <w:top w:w="15" w:type="dxa"/>
              <w:left w:w="108" w:type="dxa"/>
              <w:bottom w:w="0" w:type="dxa"/>
              <w:right w:w="108" w:type="dxa"/>
            </w:tcMar>
          </w:tcPr>
          <w:p w:rsidR="00D814DA" w:rsidRPr="00C144DF" w:rsidRDefault="00F16F17" w:rsidP="00A6721D">
            <w:pPr>
              <w:pStyle w:val="ProductList-Body"/>
              <w:rPr>
                <w:rFonts w:cstheme="minorHAnsi"/>
                <w:color w:val="58595B" w:themeColor="text1"/>
                <w:szCs w:val="18"/>
              </w:rPr>
            </w:pPr>
            <w:r>
              <w:rPr>
                <w:rFonts w:cstheme="minorHAnsi"/>
                <w:color w:val="58595B" w:themeColor="text1"/>
                <w:szCs w:val="18"/>
              </w:rPr>
              <w:t>300.</w:t>
            </w:r>
            <w:r w:rsidR="00D814DA">
              <w:rPr>
                <w:rFonts w:cstheme="minorHAnsi"/>
                <w:color w:val="58595B" w:themeColor="text1"/>
                <w:szCs w:val="18"/>
              </w:rPr>
              <w:t>000 – 599</w:t>
            </w:r>
            <w:r w:rsidR="00A6721D">
              <w:rPr>
                <w:rFonts w:cstheme="minorHAnsi"/>
                <w:color w:val="58595B" w:themeColor="text1"/>
                <w:szCs w:val="18"/>
              </w:rPr>
              <w:t>.</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rsidTr="002A1566">
        <w:trPr>
          <w:trHeight w:val="45"/>
        </w:trPr>
        <w:tc>
          <w:tcPr>
            <w:tcW w:w="5265" w:type="dxa"/>
            <w:shd w:val="clear" w:color="auto" w:fill="FFFFFF"/>
            <w:tcMar>
              <w:top w:w="15" w:type="dxa"/>
              <w:left w:w="108" w:type="dxa"/>
              <w:bottom w:w="0" w:type="dxa"/>
              <w:right w:w="108" w:type="dxa"/>
            </w:tcMar>
          </w:tcPr>
          <w:p w:rsidR="00D814DA" w:rsidRPr="00C144DF" w:rsidRDefault="00F16F17" w:rsidP="00141526">
            <w:pPr>
              <w:pStyle w:val="ProductList-Body"/>
              <w:rPr>
                <w:rFonts w:cstheme="minorHAnsi"/>
                <w:color w:val="58595B" w:themeColor="text1"/>
                <w:szCs w:val="18"/>
              </w:rPr>
            </w:pPr>
            <w:r>
              <w:rPr>
                <w:rFonts w:cstheme="minorHAnsi"/>
                <w:color w:val="58595B" w:themeColor="text1"/>
                <w:szCs w:val="18"/>
              </w:rPr>
              <w:t>600.</w:t>
            </w:r>
            <w:r w:rsidR="00D814DA">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rsidR="003E081A" w:rsidRPr="00CA772A" w:rsidRDefault="003E081A" w:rsidP="003E081A">
      <w:pPr>
        <w:pStyle w:val="Thirdheading"/>
        <w:rPr>
          <w:rFonts w:eastAsiaTheme="majorEastAsia"/>
        </w:rPr>
      </w:pPr>
      <w:r>
        <w:rPr>
          <w:rFonts w:eastAsiaTheme="majorEastAsia" w:cstheme="majorBidi"/>
          <w:b/>
          <w:bCs/>
          <w:color w:val="8064A2" w:themeColor="accent4"/>
          <w:sz w:val="18"/>
          <w:szCs w:val="18"/>
        </w:rPr>
        <w:t>Utilizzo dei Giorni Planning Services</w:t>
      </w:r>
    </w:p>
    <w:p w:rsidR="007B5219" w:rsidRPr="00CA772A" w:rsidRDefault="00120E85" w:rsidP="007B5219">
      <w:pPr>
        <w:pStyle w:val="ListParagraph"/>
        <w:numPr>
          <w:ilvl w:val="0"/>
          <w:numId w:val="16"/>
        </w:numPr>
      </w:pPr>
      <w:r>
        <w:rPr>
          <w:rFonts w:eastAsia="Times New Roman" w:cs="Times New Roman"/>
          <w:color w:val="505050"/>
          <w:szCs w:val="20"/>
        </w:rPr>
        <w:t>L</w:t>
      </w:r>
      <w:r w:rsidR="00D1524D">
        <w:rPr>
          <w:rFonts w:eastAsia="Times New Roman" w:cs="Times New Roman"/>
          <w:color w:val="505050"/>
          <w:szCs w:val="20"/>
        </w:rPr>
        <w:t>’</w:t>
      </w:r>
      <w:r>
        <w:rPr>
          <w:rFonts w:eastAsia="Times New Roman" w:cs="Times New Roman"/>
          <w:color w:val="505050"/>
          <w:szCs w:val="20"/>
        </w:rPr>
        <w:t>elenco dei Partner Microsoft che erogano Planning Services è disponibile qui:</w:t>
      </w:r>
      <w:r>
        <w:rPr>
          <w:color w:val="505050"/>
          <w:szCs w:val="20"/>
        </w:rPr>
        <w:t xml:space="preserve"> </w:t>
      </w:r>
      <w:hyperlink r:id="rId22" w:history="1">
        <w:r>
          <w:rPr>
            <w:rStyle w:val="Hyperlink"/>
            <w:rFonts w:eastAsia="Times New Roman" w:cs="Times New Roman"/>
            <w:szCs w:val="20"/>
          </w:rPr>
          <w:t>http://directory.partners.extranet.microsoft.com/psbproviders</w:t>
        </w:r>
      </w:hyperlink>
      <w:r w:rsidR="00F659C4">
        <w:rPr>
          <w:rFonts w:eastAsia="Times New Roman" w:cs="Times New Roman"/>
          <w:color w:val="505050"/>
          <w:szCs w:val="20"/>
        </w:rPr>
        <w:t xml:space="preserve"> </w:t>
      </w:r>
    </w:p>
    <w:p w:rsidR="00E85D19" w:rsidRPr="00CA772A" w:rsidRDefault="005F07A3" w:rsidP="007B5219">
      <w:pPr>
        <w:pStyle w:val="BodyText"/>
        <w:numPr>
          <w:ilvl w:val="0"/>
          <w:numId w:val="16"/>
        </w:numPr>
        <w:spacing w:after="0"/>
      </w:pPr>
      <w:r>
        <w:t>I Planning Services potranno essere forniti da Partner Microsoft qualificati o da Microsoft Consulting Services.</w:t>
      </w:r>
      <w:r w:rsidR="00F659C4">
        <w:t xml:space="preserve"> </w:t>
      </w:r>
      <w:r>
        <w:t>Si applicano le “Condizioni per l</w:t>
      </w:r>
      <w:r w:rsidR="00D1524D">
        <w:t>’</w:t>
      </w:r>
      <w:r>
        <w:t>Utilizzo” locali stabilite dal Partner di Planning Services qualificato. I servizi erogati con i voucher vengono forniti ai sensi di un contratto tra la società e il Partner di Planning Services; Microsoft non è responsabile dell</w:t>
      </w:r>
      <w:r w:rsidR="00D1524D">
        <w:t>’</w:t>
      </w:r>
      <w:r>
        <w:t>eventuale funzionamento o mancato funzionamento dei servizi da parte del Partner di Planning Services.</w:t>
      </w:r>
      <w:r w:rsidR="00F659C4">
        <w:t xml:space="preserve"> </w:t>
      </w:r>
    </w:p>
    <w:p w:rsidR="00E85D19" w:rsidRPr="00CA772A" w:rsidRDefault="005F07A3" w:rsidP="007B5219">
      <w:pPr>
        <w:pStyle w:val="BodyText"/>
        <w:numPr>
          <w:ilvl w:val="0"/>
          <w:numId w:val="16"/>
        </w:numPr>
        <w:spacing w:after="0"/>
      </w:pPr>
      <w:r>
        <w:t>Gli engagement Planning Services forniscono servizi di consulenza che coprono un ambito di lavoro predeterminato, il cui esito è un piano di distribuzione di alto livello; la distribuzione effettiva del software non può essere inclusa.</w:t>
      </w:r>
    </w:p>
    <w:p w:rsidR="00E85D19" w:rsidRPr="00CA772A" w:rsidRDefault="005F07A3" w:rsidP="007B5219">
      <w:pPr>
        <w:pStyle w:val="BodyText"/>
        <w:numPr>
          <w:ilvl w:val="0"/>
          <w:numId w:val="16"/>
        </w:numPr>
        <w:spacing w:after="0"/>
      </w:pPr>
      <w:r>
        <w:t>I voucher Planning Services possono essere riscattati solo dalla Società idonea a ricevere il vantaggio.</w:t>
      </w:r>
    </w:p>
    <w:p w:rsidR="00E85D19" w:rsidRPr="00CA772A" w:rsidRDefault="005F07A3" w:rsidP="007B5219">
      <w:pPr>
        <w:pStyle w:val="BodyText"/>
        <w:numPr>
          <w:ilvl w:val="0"/>
          <w:numId w:val="16"/>
        </w:numPr>
        <w:spacing w:after="0"/>
      </w:pPr>
      <w:r>
        <w:t>I voucher Planning Services non potranno essere scambiati con contante, somme di denaro o altri corrispettivi.</w:t>
      </w:r>
    </w:p>
    <w:p w:rsidR="005F07A3" w:rsidRPr="00CA772A" w:rsidRDefault="00E85D19" w:rsidP="007B5219">
      <w:pPr>
        <w:pStyle w:val="BodyText"/>
        <w:numPr>
          <w:ilvl w:val="0"/>
          <w:numId w:val="16"/>
        </w:numPr>
        <w:spacing w:after="0"/>
      </w:pPr>
      <w:r>
        <w:lastRenderedPageBreak/>
        <w:t>La società potrà acquistare servizi aggiuntivi oltre a quelli previsti dall</w:t>
      </w:r>
      <w:r w:rsidR="00D1524D">
        <w:t>’</w:t>
      </w:r>
      <w:r>
        <w:t>ambito di lavoro (secondo quanto definito dal tipo di voucher e dal livello di servizio) dal suo Partner di Planning Services al di fuori di questo programma.</w:t>
      </w:r>
    </w:p>
    <w:p w:rsidR="005F07A3" w:rsidRPr="00CA772A" w:rsidRDefault="005F07A3" w:rsidP="007B5219">
      <w:pPr>
        <w:pStyle w:val="BodyText"/>
        <w:numPr>
          <w:ilvl w:val="0"/>
          <w:numId w:val="16"/>
        </w:numPr>
        <w:spacing w:after="0"/>
      </w:pPr>
      <w:r>
        <w:t>La riduzione della copertura SA qualificante in seguito a resi o ad altre modifiche apportate alla fatturazione, ove ammessa, potrà diminuire i giorni di idoneità ai Planning Services della società.</w:t>
      </w:r>
    </w:p>
    <w:p w:rsidR="005F07A3" w:rsidRPr="00CA772A" w:rsidRDefault="005F07A3" w:rsidP="007B5219">
      <w:pPr>
        <w:pStyle w:val="BodyText"/>
        <w:numPr>
          <w:ilvl w:val="0"/>
          <w:numId w:val="16"/>
        </w:numPr>
        <w:spacing w:after="0"/>
      </w:pPr>
      <w:r>
        <w:t>I voucher non potranno essere né accumulati né combinati. La società dovrà fornire un voucher per un impegno per il numero disponibile di giorni.</w:t>
      </w:r>
    </w:p>
    <w:p w:rsidR="005F07A3" w:rsidRPr="00CA772A" w:rsidRDefault="005F07A3" w:rsidP="007B5219">
      <w:pPr>
        <w:pStyle w:val="BodyText"/>
        <w:numPr>
          <w:ilvl w:val="0"/>
          <w:numId w:val="16"/>
        </w:numPr>
        <w:spacing w:after="0"/>
      </w:pPr>
      <w:r>
        <w:t>I voucher sono validi solo con il Partner di Planning Services per il tipo di servizio specifico per il quale il voucher viene riscattato. Il voucher può essere utilizzato con qualsiasi Partner di Planning Services a livello mondiale. La partecipazione potrà variare. Il Partner di Planning Services potrà annullare un servizio in conformità ai criteri di annullamento locali.</w:t>
      </w:r>
    </w:p>
    <w:p w:rsidR="005F07A3" w:rsidRPr="00CA772A" w:rsidRDefault="005F07A3" w:rsidP="007B5219">
      <w:pPr>
        <w:pStyle w:val="BodyText"/>
        <w:numPr>
          <w:ilvl w:val="0"/>
          <w:numId w:val="16"/>
        </w:numPr>
        <w:spacing w:after="0"/>
      </w:pPr>
      <w:r>
        <w:t>I voucher dovranno essere assegnati durante il periodo della copertura SA.</w:t>
      </w:r>
    </w:p>
    <w:p w:rsidR="00E23144" w:rsidRPr="00CA772A" w:rsidRDefault="005F07A3" w:rsidP="007B5219">
      <w:pPr>
        <w:pStyle w:val="BodyText"/>
        <w:numPr>
          <w:ilvl w:val="0"/>
          <w:numId w:val="16"/>
        </w:numPr>
        <w:spacing w:after="0"/>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w:t>
      </w:r>
    </w:p>
    <w:p w:rsidR="00E23144" w:rsidRPr="00CA772A" w:rsidRDefault="005F07A3" w:rsidP="007B5219">
      <w:pPr>
        <w:pStyle w:val="BodyText"/>
        <w:numPr>
          <w:ilvl w:val="0"/>
          <w:numId w:val="16"/>
        </w:numPr>
        <w:spacing w:after="0"/>
      </w:pPr>
      <w:r>
        <w:t xml:space="preserve">Accettando un engagement Planning Services, la società dà atto che, non appena lo completerà, riceverà un sondaggio per il controllo della qualità. </w:t>
      </w:r>
    </w:p>
    <w:p w:rsidR="005F07A3" w:rsidRPr="00CA772A" w:rsidRDefault="005F07A3" w:rsidP="007B5219">
      <w:pPr>
        <w:pStyle w:val="BodyText"/>
        <w:numPr>
          <w:ilvl w:val="0"/>
          <w:numId w:val="16"/>
        </w:numPr>
        <w:spacing w:after="0"/>
      </w:pPr>
      <w:r>
        <w:t>Le tabelle riportate sopra mostrano i Giorni Planning Services disponibili in base a un acquisto triennale completo eseguito tramite un Account per gli Acquisti.</w:t>
      </w:r>
      <w:r w:rsidR="00F659C4">
        <w:t xml:space="preserve"> </w:t>
      </w:r>
      <w:r>
        <w:t>Qualora il periodo di validità della copertura SA sia inferiore a 3 anni, il numero di Giorni Planning Services ai quali la società avrà diritto sarà di conseguenza ripartito in misura proporzionale.</w:t>
      </w:r>
    </w:p>
    <w:p w:rsidR="005F07A3" w:rsidRPr="00CA772A" w:rsidRDefault="005F07A3" w:rsidP="005F07A3">
      <w:pPr>
        <w:pStyle w:val="ProductList-Body"/>
      </w:pPr>
    </w:p>
    <w:p w:rsidR="005F07A3" w:rsidRPr="00CA772A" w:rsidRDefault="005F07A3" w:rsidP="005F07A3">
      <w:pPr>
        <w:pStyle w:val="ProductList-Body"/>
      </w:pPr>
      <w:r>
        <w:rPr>
          <w:rFonts w:ascii="Segoe UI" w:hAnsi="Segoe UI"/>
          <w:color w:val="58595B" w:themeColor="text1"/>
          <w:szCs w:val="18"/>
        </w:rPr>
        <w:t>I deliverable completati inviati a Microsoft dal Partner di Planning Services al termine dell</w:t>
      </w:r>
      <w:r w:rsidR="00D1524D">
        <w:rPr>
          <w:rFonts w:ascii="Segoe UI" w:hAnsi="Segoe UI"/>
          <w:color w:val="58595B" w:themeColor="text1"/>
          <w:szCs w:val="18"/>
        </w:rPr>
        <w:t>’</w:t>
      </w:r>
      <w:r>
        <w:rPr>
          <w:rFonts w:ascii="Segoe UI" w:hAnsi="Segoe UI"/>
          <w:color w:val="58595B" w:themeColor="text1"/>
          <w:szCs w:val="18"/>
        </w:rPr>
        <w:t>engagement potranno essere utilizzati da Microsoft per il controllo della qualità e a tale scopo potranno essere condivisi con il team dell</w:t>
      </w:r>
      <w:r w:rsidR="00D1524D">
        <w:rPr>
          <w:rFonts w:ascii="Segoe UI" w:hAnsi="Segoe UI"/>
          <w:color w:val="58595B" w:themeColor="text1"/>
          <w:szCs w:val="18"/>
        </w:rPr>
        <w:t>’</w:t>
      </w:r>
      <w:r>
        <w:rPr>
          <w:rFonts w:ascii="Segoe UI" w:hAnsi="Segoe UI"/>
          <w:color w:val="58595B" w:themeColor="text1"/>
          <w:szCs w:val="18"/>
        </w:rPr>
        <w:t>account Microsoft della società.</w:t>
      </w:r>
    </w:p>
    <w:p w:rsidR="00816143" w:rsidRPr="00CA772A" w:rsidRDefault="00816143" w:rsidP="009A7988">
      <w:pPr>
        <w:pStyle w:val="Heading2"/>
      </w:pPr>
      <w:bookmarkStart w:id="29" w:name="_Enhanced_Edition_Benefits"/>
      <w:bookmarkStart w:id="30" w:name="_Voucher_Corsi"/>
      <w:bookmarkStart w:id="31" w:name="_Toc403380304"/>
      <w:bookmarkStart w:id="32" w:name="_Toc416105615"/>
      <w:bookmarkStart w:id="33" w:name="_Toc394601024"/>
      <w:bookmarkEnd w:id="29"/>
      <w:bookmarkEnd w:id="30"/>
      <w:r>
        <w:t>Voucher Corsi</w:t>
      </w:r>
      <w:bookmarkEnd w:id="31"/>
      <w:bookmarkEnd w:id="32"/>
    </w:p>
    <w:p w:rsidR="00816143" w:rsidRPr="00CA772A" w:rsidRDefault="00E23144" w:rsidP="00816143">
      <w:pPr>
        <w:pStyle w:val="ProductList-Body"/>
      </w:pPr>
      <w:r>
        <w:rPr>
          <w:color w:val="58595B" w:themeColor="text1"/>
        </w:rPr>
        <w:t>Qualora la società abbia scelto Partecipazione a Software Assurance (SAM) nel pool di Applicazioni o di Sistemi, è idonea a ricevere i Voucher Corsi di Microsoft.</w:t>
      </w:r>
      <w:r w:rsidR="00F659C4">
        <w:rPr>
          <w:color w:val="58595B" w:themeColor="text1"/>
        </w:rPr>
        <w:t xml:space="preserve"> </w:t>
      </w:r>
      <w:r>
        <w:rPr>
          <w:color w:val="58595B" w:themeColor="text1"/>
        </w:rPr>
        <w:t>I voucher autorizzano la società a ricevere corsi tenuti da un Partner Microsoft in possesso di una Competenza Learning (Microsoft Learning Partner) per un numero specifico di giorni.</w:t>
      </w:r>
    </w:p>
    <w:p w:rsidR="00816143" w:rsidRPr="00CA772A" w:rsidRDefault="00816143" w:rsidP="0046773C">
      <w:pPr>
        <w:pStyle w:val="ProductList-Body"/>
        <w:spacing w:before="120" w:after="120"/>
      </w:pPr>
      <w:r>
        <w:rPr>
          <w:color w:val="58595B" w:themeColor="text1"/>
          <w:szCs w:val="18"/>
        </w:rPr>
        <w:t>Il numero di Giorni Voucher Corsi ai quali la società è autorizzata si basa sui punti totali calcolati guadagnati</w:t>
      </w:r>
      <w:r>
        <w:rPr>
          <w:rFonts w:ascii="Segoe UI" w:hAnsi="Segoe UI"/>
          <w:color w:val="58595B" w:themeColor="text1"/>
          <w:szCs w:val="18"/>
        </w:rPr>
        <w:t xml:space="preserve"> attraverso l</w:t>
      </w:r>
      <w:r w:rsidR="00D1524D">
        <w:rPr>
          <w:rFonts w:ascii="Segoe UI" w:hAnsi="Segoe UI"/>
          <w:color w:val="58595B" w:themeColor="text1"/>
          <w:szCs w:val="18"/>
        </w:rPr>
        <w:t>’</w:t>
      </w:r>
      <w:r>
        <w:rPr>
          <w:rFonts w:ascii="Segoe UI" w:hAnsi="Segoe UI"/>
          <w:color w:val="58595B" w:themeColor="text1"/>
          <w:szCs w:val="18"/>
        </w:rPr>
        <w:t>Account per gli Acquisti,</w:t>
      </w:r>
      <w:r>
        <w:rPr>
          <w:color w:val="58595B" w:themeColor="text1"/>
          <w:szCs w:val="18"/>
        </w:rPr>
        <w:t xml:space="preserve"> come indicato di seguito </w:t>
      </w:r>
      <w:r>
        <w:rPr>
          <w:rFonts w:ascii="Segoe UI" w:hAnsi="Segoe UI"/>
          <w:color w:val="58595B" w:themeColor="text1"/>
          <w:szCs w:val="18"/>
        </w:rPr>
        <w:t>(la società potrà fare riferimento all</w:t>
      </w:r>
      <w:r w:rsidR="00D1524D">
        <w:rPr>
          <w:rFonts w:ascii="Segoe UI" w:hAnsi="Segoe UI"/>
          <w:color w:val="58595B" w:themeColor="text1"/>
          <w:szCs w:val="18"/>
        </w:rPr>
        <w:t>’</w:t>
      </w:r>
      <w:r>
        <w:rPr>
          <w:rFonts w:ascii="Segoe UI" w:hAnsi="Segoe UI"/>
          <w:color w:val="58595B" w:themeColor="text1"/>
          <w:szCs w:val="18"/>
        </w:rPr>
        <w:t>Articolo “Calcolo dei Punti per i Vantaggi di Software Assurance per il Contratto MPSA</w:t>
      </w:r>
      <w:r w:rsidR="00A15164">
        <w:rPr>
          <w:rFonts w:ascii="Segoe UI" w:hAnsi="Segoe UI"/>
          <w:color w:val="58595B" w:themeColor="text1"/>
          <w:szCs w:val="18"/>
        </w:rPr>
        <w:t>”</w:t>
      </w:r>
      <w:r w:rsidR="00643BFF">
        <w:rPr>
          <w:rFonts w:ascii="Segoe UI" w:hAnsi="Segoe UI"/>
          <w:color w:val="58595B" w:themeColor="text1"/>
          <w:szCs w:val="18"/>
        </w:rPr>
        <w:t xml:space="preserve"> </w:t>
      </w:r>
      <w:r>
        <w:rPr>
          <w:rFonts w:ascii="Segoe UI" w:hAnsi="Segoe UI"/>
          <w:color w:val="58595B" w:themeColor="text1"/>
          <w:szCs w:val="18"/>
        </w:rPr>
        <w:t>del presente documento per conoscere come vengono calcolati i punti per i Vantaggi di SA)</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2260"/>
      </w:tblGrid>
      <w:tr w:rsidR="00816143" w:rsidRPr="005B13F2" w:rsidTr="00103B57">
        <w:trPr>
          <w:tblHeader/>
        </w:trPr>
        <w:tc>
          <w:tcPr>
            <w:tcW w:w="3198" w:type="dxa"/>
            <w:shd w:val="clear" w:color="auto" w:fill="5F497A" w:themeFill="accent4" w:themeFillShade="BF"/>
            <w:vAlign w:val="center"/>
          </w:tcPr>
          <w:p w:rsidR="00816143" w:rsidRPr="005B13F2" w:rsidRDefault="00816143" w:rsidP="00E16B45">
            <w:pPr>
              <w:pStyle w:val="ProductList-Body"/>
              <w:spacing w:before="20" w:after="20"/>
              <w:rPr>
                <w:color w:val="FFFFFF" w:themeColor="background1"/>
                <w:szCs w:val="18"/>
              </w:rPr>
            </w:pPr>
            <w:r>
              <w:rPr>
                <w:color w:val="FFFFFF" w:themeColor="background1"/>
                <w:szCs w:val="18"/>
              </w:rPr>
              <w:t>Punti con SAM</w:t>
            </w:r>
          </w:p>
        </w:tc>
        <w:tc>
          <w:tcPr>
            <w:tcW w:w="2382"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Giorni Voucher per prodotti del</w:t>
            </w:r>
            <w:r w:rsidR="00F659C4">
              <w:rPr>
                <w:i/>
                <w:color w:val="FFFFFF" w:themeColor="background1"/>
                <w:szCs w:val="18"/>
              </w:rPr>
              <w:t xml:space="preserve"> </w:t>
            </w:r>
            <w:r>
              <w:rPr>
                <w:color w:val="FFFFFF" w:themeColor="background1"/>
                <w:szCs w:val="18"/>
              </w:rPr>
              <w:t>Pool di Applicazioni</w:t>
            </w:r>
          </w:p>
        </w:tc>
        <w:tc>
          <w:tcPr>
            <w:tcW w:w="2260"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Giorni Voucher per prodotti del Pool di Sistemi</w:t>
            </w:r>
          </w:p>
        </w:tc>
      </w:tr>
      <w:tr w:rsidR="00816143" w:rsidRPr="005B13F2" w:rsidTr="00103B57">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rsidTr="00103B57">
        <w:trPr>
          <w:trHeight w:val="70"/>
        </w:trPr>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rsidTr="00103B57">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rsidTr="00103B57">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rsidTr="00103B57">
        <w:tc>
          <w:tcPr>
            <w:tcW w:w="3198" w:type="dxa"/>
            <w:vAlign w:val="center"/>
          </w:tcPr>
          <w:p w:rsidR="00816143" w:rsidRPr="002123CF" w:rsidRDefault="00A15164" w:rsidP="00E16B45">
            <w:pPr>
              <w:pStyle w:val="ProductList-Body"/>
              <w:rPr>
                <w:rFonts w:ascii="Segoe UI" w:hAnsi="Segoe UI"/>
                <w:color w:val="58595B" w:themeColor="text1"/>
                <w:szCs w:val="18"/>
              </w:rPr>
            </w:pPr>
            <w:r>
              <w:rPr>
                <w:rFonts w:ascii="Segoe UI" w:hAnsi="Segoe UI"/>
                <w:color w:val="58595B" w:themeColor="text1"/>
                <w:szCs w:val="18"/>
              </w:rPr>
              <w:t>250 – 2.</w:t>
            </w:r>
            <w:r w:rsidR="00816143">
              <w:rPr>
                <w:rFonts w:ascii="Segoe UI" w:hAnsi="Segoe UI"/>
                <w:color w:val="58595B" w:themeColor="text1"/>
                <w:szCs w:val="18"/>
              </w:rPr>
              <w:t>399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rsidTr="00103B57">
        <w:tc>
          <w:tcPr>
            <w:tcW w:w="3198" w:type="dxa"/>
            <w:vAlign w:val="center"/>
          </w:tcPr>
          <w:p w:rsidR="00816143" w:rsidRPr="002123CF" w:rsidRDefault="00A15164" w:rsidP="00E16B45">
            <w:pPr>
              <w:pStyle w:val="ProductList-Body"/>
              <w:rPr>
                <w:rFonts w:ascii="Segoe UI" w:hAnsi="Segoe UI"/>
                <w:color w:val="58595B" w:themeColor="text1"/>
                <w:szCs w:val="18"/>
              </w:rPr>
            </w:pPr>
            <w:r>
              <w:rPr>
                <w:rFonts w:ascii="Segoe UI" w:hAnsi="Segoe UI"/>
                <w:color w:val="58595B" w:themeColor="text1"/>
                <w:szCs w:val="18"/>
              </w:rPr>
              <w:t>2.400 – 5.</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rsidTr="00103B57">
        <w:trPr>
          <w:trHeight w:val="51"/>
        </w:trPr>
        <w:tc>
          <w:tcPr>
            <w:tcW w:w="3198" w:type="dxa"/>
            <w:vAlign w:val="center"/>
          </w:tcPr>
          <w:p w:rsidR="00816143" w:rsidRPr="002123CF" w:rsidRDefault="00A15164" w:rsidP="00E16B45">
            <w:pPr>
              <w:pStyle w:val="ProductList-Body"/>
              <w:rPr>
                <w:rFonts w:ascii="Segoe UI" w:hAnsi="Segoe UI"/>
                <w:color w:val="58595B" w:themeColor="text1"/>
                <w:szCs w:val="18"/>
              </w:rPr>
            </w:pPr>
            <w:r>
              <w:rPr>
                <w:rFonts w:ascii="Segoe UI" w:hAnsi="Segoe UI"/>
                <w:color w:val="58595B" w:themeColor="text1"/>
                <w:szCs w:val="18"/>
              </w:rPr>
              <w:t>6.000 – 14.</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rsidTr="00103B57">
        <w:tc>
          <w:tcPr>
            <w:tcW w:w="3198" w:type="dxa"/>
            <w:vAlign w:val="center"/>
          </w:tcPr>
          <w:p w:rsidR="00816143" w:rsidRPr="002123CF" w:rsidRDefault="00A15164" w:rsidP="00E16B45">
            <w:pPr>
              <w:pStyle w:val="ProductList-Body"/>
              <w:rPr>
                <w:rFonts w:ascii="Segoe UI" w:hAnsi="Segoe UI"/>
                <w:color w:val="58595B" w:themeColor="text1"/>
                <w:szCs w:val="18"/>
              </w:rPr>
            </w:pPr>
            <w:r>
              <w:rPr>
                <w:rFonts w:ascii="Segoe UI" w:hAnsi="Segoe UI"/>
                <w:color w:val="58595B" w:themeColor="text1"/>
                <w:szCs w:val="18"/>
              </w:rPr>
              <w:t>15.000 – 29.</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rsidTr="00103B57">
        <w:tc>
          <w:tcPr>
            <w:tcW w:w="3198" w:type="dxa"/>
            <w:vAlign w:val="center"/>
          </w:tcPr>
          <w:p w:rsidR="00816143" w:rsidRPr="002123CF" w:rsidRDefault="00A15164" w:rsidP="00E16B45">
            <w:pPr>
              <w:pStyle w:val="ProductList-Body"/>
              <w:rPr>
                <w:rFonts w:ascii="Segoe UI" w:hAnsi="Segoe UI"/>
                <w:color w:val="58595B" w:themeColor="text1"/>
                <w:szCs w:val="18"/>
              </w:rPr>
            </w:pPr>
            <w:r>
              <w:rPr>
                <w:rFonts w:ascii="Segoe UI" w:hAnsi="Segoe UI"/>
                <w:color w:val="58595B" w:themeColor="text1"/>
                <w:szCs w:val="18"/>
              </w:rPr>
              <w:t>30.000 – 49.</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rsidTr="00103B57">
        <w:tc>
          <w:tcPr>
            <w:tcW w:w="3198" w:type="dxa"/>
            <w:vAlign w:val="center"/>
          </w:tcPr>
          <w:p w:rsidR="00816143" w:rsidRPr="002123CF" w:rsidRDefault="00A15164" w:rsidP="00E16B45">
            <w:pPr>
              <w:pStyle w:val="ProductList-Body"/>
              <w:tabs>
                <w:tab w:val="clear" w:pos="158"/>
                <w:tab w:val="left" w:pos="162"/>
              </w:tabs>
              <w:rPr>
                <w:rFonts w:ascii="Segoe UI" w:hAnsi="Segoe UI"/>
                <w:color w:val="58595B" w:themeColor="text1"/>
                <w:szCs w:val="18"/>
              </w:rPr>
            </w:pPr>
            <w:r>
              <w:rPr>
                <w:rFonts w:ascii="Segoe UI" w:hAnsi="Segoe UI"/>
                <w:color w:val="58595B" w:themeColor="text1"/>
                <w:szCs w:val="18"/>
              </w:rPr>
              <w:t>50.000 – 99.</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rsidTr="00103B57">
        <w:tc>
          <w:tcPr>
            <w:tcW w:w="3198" w:type="dxa"/>
            <w:vAlign w:val="center"/>
          </w:tcPr>
          <w:p w:rsidR="00816143" w:rsidRPr="002123CF" w:rsidRDefault="00A15164" w:rsidP="00E16B45">
            <w:pPr>
              <w:pStyle w:val="ProductList-Body"/>
              <w:rPr>
                <w:rFonts w:ascii="Segoe UI" w:hAnsi="Segoe UI"/>
                <w:color w:val="58595B" w:themeColor="text1"/>
                <w:szCs w:val="18"/>
              </w:rPr>
            </w:pPr>
            <w:r>
              <w:rPr>
                <w:rFonts w:ascii="Segoe UI" w:hAnsi="Segoe UI"/>
                <w:color w:val="58595B" w:themeColor="text1"/>
                <w:szCs w:val="18"/>
              </w:rPr>
              <w:t>100.000 – 199.</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rsidTr="00103B57">
        <w:tc>
          <w:tcPr>
            <w:tcW w:w="3198" w:type="dxa"/>
            <w:vAlign w:val="center"/>
          </w:tcPr>
          <w:p w:rsidR="00816143" w:rsidRPr="002123CF" w:rsidRDefault="00A15164" w:rsidP="00E16B45">
            <w:pPr>
              <w:pStyle w:val="ProductList-Body"/>
              <w:rPr>
                <w:rFonts w:ascii="Segoe UI" w:hAnsi="Segoe UI"/>
                <w:color w:val="58595B" w:themeColor="text1"/>
                <w:szCs w:val="18"/>
              </w:rPr>
            </w:pPr>
            <w:r>
              <w:rPr>
                <w:rFonts w:ascii="Segoe UI" w:hAnsi="Segoe UI"/>
                <w:color w:val="58595B" w:themeColor="text1"/>
                <w:szCs w:val="18"/>
              </w:rPr>
              <w:t>200.000 – 399.</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rsidTr="00103B57">
        <w:tc>
          <w:tcPr>
            <w:tcW w:w="3198" w:type="dxa"/>
            <w:vAlign w:val="center"/>
          </w:tcPr>
          <w:p w:rsidR="00816143" w:rsidRPr="002123CF" w:rsidRDefault="00A15164" w:rsidP="00A6721D">
            <w:pPr>
              <w:pStyle w:val="ProductList-Body"/>
              <w:rPr>
                <w:rFonts w:ascii="Segoe UI" w:hAnsi="Segoe UI"/>
                <w:color w:val="58595B" w:themeColor="text1"/>
                <w:szCs w:val="18"/>
              </w:rPr>
            </w:pPr>
            <w:r>
              <w:rPr>
                <w:rFonts w:ascii="Segoe UI" w:hAnsi="Segoe UI"/>
                <w:color w:val="58595B" w:themeColor="text1"/>
                <w:szCs w:val="18"/>
              </w:rPr>
              <w:t>400.000 – 59.</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rsidTr="00103B57">
        <w:tc>
          <w:tcPr>
            <w:tcW w:w="3198" w:type="dxa"/>
            <w:vAlign w:val="center"/>
          </w:tcPr>
          <w:p w:rsidR="00816143" w:rsidRPr="002123CF" w:rsidRDefault="00A15164" w:rsidP="00E16B45">
            <w:pPr>
              <w:pStyle w:val="ProductList-Body"/>
              <w:rPr>
                <w:rFonts w:ascii="Segoe UI" w:hAnsi="Segoe UI"/>
                <w:color w:val="58595B" w:themeColor="text1"/>
                <w:szCs w:val="18"/>
              </w:rPr>
            </w:pPr>
            <w:r>
              <w:rPr>
                <w:rFonts w:ascii="Segoe UI" w:hAnsi="Segoe UI"/>
                <w:color w:val="58595B" w:themeColor="text1"/>
                <w:szCs w:val="18"/>
              </w:rPr>
              <w:t>600.</w:t>
            </w:r>
            <w:r w:rsidR="00816143">
              <w:rPr>
                <w:rFonts w:ascii="Segoe UI" w:hAnsi="Segoe UI"/>
                <w:color w:val="58595B" w:themeColor="text1"/>
                <w:szCs w:val="18"/>
              </w:rPr>
              <w:t>000 +</w:t>
            </w:r>
          </w:p>
        </w:tc>
        <w:tc>
          <w:tcPr>
            <w:tcW w:w="2382" w:type="dxa"/>
            <w:vAlign w:val="center"/>
          </w:tcPr>
          <w:p w:rsidR="00816143" w:rsidRPr="002123CF" w:rsidRDefault="00A15164" w:rsidP="002123CF">
            <w:pPr>
              <w:pStyle w:val="ProductList-Body"/>
              <w:jc w:val="center"/>
              <w:rPr>
                <w:rFonts w:ascii="Segoe UI" w:hAnsi="Segoe UI"/>
                <w:color w:val="58595B" w:themeColor="text1"/>
                <w:szCs w:val="18"/>
              </w:rPr>
            </w:pPr>
            <w:r>
              <w:rPr>
                <w:rFonts w:ascii="Segoe UI" w:hAnsi="Segoe UI"/>
                <w:color w:val="58595B" w:themeColor="text1"/>
                <w:szCs w:val="18"/>
              </w:rPr>
              <w:t>1.</w:t>
            </w:r>
            <w:r w:rsidR="00816143">
              <w:rPr>
                <w:rFonts w:ascii="Segoe UI" w:hAnsi="Segoe UI"/>
                <w:color w:val="58595B" w:themeColor="text1"/>
                <w:szCs w:val="18"/>
              </w:rPr>
              <w:t>400</w:t>
            </w:r>
          </w:p>
        </w:tc>
        <w:tc>
          <w:tcPr>
            <w:tcW w:w="226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rsidR="00F0478C" w:rsidRPr="00CA772A" w:rsidRDefault="00F754C4" w:rsidP="002123CF">
      <w:pPr>
        <w:pStyle w:val="Thirdheading"/>
        <w:rPr>
          <w:rFonts w:eastAsiaTheme="majorEastAsia"/>
        </w:rPr>
      </w:pPr>
      <w:r>
        <w:rPr>
          <w:rFonts w:eastAsiaTheme="majorEastAsia" w:cstheme="majorBidi"/>
          <w:b/>
          <w:bCs/>
          <w:color w:val="8064A2" w:themeColor="accent4"/>
          <w:sz w:val="18"/>
          <w:szCs w:val="18"/>
        </w:rPr>
        <w:t>Utilizzo di Giorni Voucher Corsi</w:t>
      </w:r>
    </w:p>
    <w:p w:rsidR="00816143" w:rsidRPr="00CA772A" w:rsidRDefault="00816143" w:rsidP="007B5219">
      <w:pPr>
        <w:pStyle w:val="BodyText"/>
        <w:numPr>
          <w:ilvl w:val="0"/>
          <w:numId w:val="16"/>
        </w:numPr>
        <w:spacing w:after="0"/>
      </w:pPr>
      <w:r>
        <w:rPr>
          <w:color w:val="58595B" w:themeColor="text1"/>
          <w:szCs w:val="18"/>
        </w:rPr>
        <w:t>N</w:t>
      </w:r>
      <w:r>
        <w:t>on tutti i corsi sono disponibili in tutte le lingue.</w:t>
      </w:r>
    </w:p>
    <w:p w:rsidR="00816143" w:rsidRPr="00CA772A" w:rsidRDefault="00816143" w:rsidP="007B5219">
      <w:pPr>
        <w:pStyle w:val="BodyText"/>
        <w:numPr>
          <w:ilvl w:val="0"/>
          <w:numId w:val="16"/>
        </w:numPr>
        <w:spacing w:after="0"/>
      </w:pPr>
      <w:r>
        <w:t>Si applicano i criteri e le Condizioni per l</w:t>
      </w:r>
      <w:r w:rsidR="00D1524D">
        <w:t>’</w:t>
      </w:r>
      <w:r>
        <w:t>Utilizzo locali stabiliti dal Microsoft Learning Partner.</w:t>
      </w:r>
    </w:p>
    <w:p w:rsidR="00816143" w:rsidRPr="00CA772A" w:rsidRDefault="00816143" w:rsidP="007B5219">
      <w:pPr>
        <w:pStyle w:val="BodyText"/>
        <w:numPr>
          <w:ilvl w:val="0"/>
          <w:numId w:val="16"/>
        </w:numPr>
        <w:spacing w:after="0"/>
      </w:pPr>
      <w:r>
        <w:lastRenderedPageBreak/>
        <w:t>I Gestori dei Vantaggi hanno la possibilità di revocare un voucher assegnato fino alla data di annullamento della lezione stabilita dal Microsoft Learning Partner.</w:t>
      </w:r>
    </w:p>
    <w:p w:rsidR="00816143" w:rsidRPr="00CA772A" w:rsidRDefault="00816143" w:rsidP="007B5219">
      <w:pPr>
        <w:pStyle w:val="BodyText"/>
        <w:numPr>
          <w:ilvl w:val="0"/>
          <w:numId w:val="16"/>
        </w:numPr>
        <w:spacing w:after="0"/>
      </w:pPr>
      <w:r>
        <w:t>I giorni dei corsi non coperti dal voucher dovranno essere pagati dalla persona che vi partecipa.</w:t>
      </w:r>
    </w:p>
    <w:p w:rsidR="00816143" w:rsidRPr="00CA772A" w:rsidRDefault="00816143" w:rsidP="007B5219">
      <w:pPr>
        <w:pStyle w:val="BodyText"/>
        <w:numPr>
          <w:ilvl w:val="0"/>
          <w:numId w:val="16"/>
        </w:numPr>
        <w:spacing w:after="0"/>
      </w:pPr>
      <w:r>
        <w:t>I giorni coperti dai voucher che superano la quantità di giorni assegnata a una particolare lezione saranno restituiti al pool di giorni disponibili per essere riallocati dai Gestori dei Vantaggi.</w:t>
      </w:r>
    </w:p>
    <w:p w:rsidR="00816143" w:rsidRPr="00CA772A" w:rsidRDefault="00816143" w:rsidP="007B5219">
      <w:pPr>
        <w:pStyle w:val="BodyText"/>
        <w:numPr>
          <w:ilvl w:val="0"/>
          <w:numId w:val="16"/>
        </w:numPr>
        <w:spacing w:after="0"/>
      </w:pPr>
      <w:r>
        <w:t>La quantità di giorni coperti dai voucher per i corsi rapidi è equivalente al numero di giorni necessari per l</w:t>
      </w:r>
      <w:r w:rsidR="00D1524D">
        <w:t>’</w:t>
      </w:r>
      <w:r>
        <w:t>erogazione normale del corso.</w:t>
      </w:r>
    </w:p>
    <w:p w:rsidR="00816143" w:rsidRPr="00CA772A" w:rsidRDefault="00816143" w:rsidP="007B5219">
      <w:pPr>
        <w:pStyle w:val="BodyText"/>
        <w:numPr>
          <w:ilvl w:val="0"/>
          <w:numId w:val="16"/>
        </w:numPr>
        <w:spacing w:after="0"/>
      </w:pPr>
      <w:r>
        <w:t>Il voucher è riscattabile solo per i giorni di corsi approvati tenuti da un istruttore presso i Microsoft Learning Partner qualificati.</w:t>
      </w:r>
      <w:r w:rsidR="00F659C4">
        <w:t xml:space="preserve"> </w:t>
      </w:r>
      <w:r>
        <w:t>I corsi personalizzati, diversi dai corsi approvati o dai corsi personalizzati rapidi realizzati esclusivamente in base a corsi approvati, non sono idonei ad essere coperti da questi voucher.</w:t>
      </w:r>
      <w:r w:rsidR="00F659C4">
        <w:t xml:space="preserve"> </w:t>
      </w:r>
      <w:r>
        <w:t xml:space="preserve">Per informazioni sui corsi approvati, la società potrà visitare la pagina </w:t>
      </w:r>
      <w:hyperlink r:id="rId23" w:history="1">
        <w:r>
          <w:rPr>
            <w:rStyle w:val="Hyperlink"/>
            <w:szCs w:val="18"/>
          </w:rPr>
          <w:t>http://www.microsoft.com/learning/sa/training.mspx</w:t>
        </w:r>
      </w:hyperlink>
      <w:r>
        <w:rPr>
          <w:color w:val="58595B" w:themeColor="text1"/>
          <w:szCs w:val="18"/>
        </w:rPr>
        <w:t xml:space="preserve">. </w:t>
      </w:r>
    </w:p>
    <w:p w:rsidR="00816143" w:rsidRPr="00CA772A" w:rsidRDefault="00816143" w:rsidP="007B5219">
      <w:pPr>
        <w:pStyle w:val="BodyText"/>
        <w:numPr>
          <w:ilvl w:val="0"/>
          <w:numId w:val="16"/>
        </w:numPr>
        <w:spacing w:after="0"/>
      </w:pPr>
      <w:r>
        <w:t>I voucher non possono essere utilizzati per coprire corrispettivi correlati alla mancata presenza a un corso riservato.</w:t>
      </w:r>
      <w:r w:rsidR="00F659C4">
        <w:t xml:space="preserve"> </w:t>
      </w:r>
      <w:r>
        <w:t xml:space="preserve">Tutti i corrispettivi relativi alle mancate presenze sono di responsabilità della società. </w:t>
      </w:r>
    </w:p>
    <w:p w:rsidR="00816143" w:rsidRPr="00CA772A" w:rsidRDefault="00816143" w:rsidP="007B5219">
      <w:pPr>
        <w:pStyle w:val="BodyText"/>
        <w:numPr>
          <w:ilvl w:val="0"/>
          <w:numId w:val="16"/>
        </w:numPr>
        <w:spacing w:after="0"/>
      </w:pPr>
      <w:r>
        <w:t>I voucher potranno essere riscattati solo da singole persone autorizzate dall</w:t>
      </w:r>
      <w:r w:rsidR="00D1524D">
        <w:t>’</w:t>
      </w:r>
      <w:r>
        <w:t xml:space="preserve">organizzazione a utilizzare il voucher. </w:t>
      </w:r>
    </w:p>
    <w:p w:rsidR="00816143" w:rsidRPr="00CA772A" w:rsidRDefault="00816143" w:rsidP="007B5219">
      <w:pPr>
        <w:pStyle w:val="BodyText"/>
        <w:numPr>
          <w:ilvl w:val="0"/>
          <w:numId w:val="16"/>
        </w:numPr>
        <w:spacing w:after="0"/>
      </w:pPr>
      <w:r>
        <w:t>I voucher non potranno essere scambiati con contante, somme di denaro o altri corrispettivi.</w:t>
      </w:r>
    </w:p>
    <w:p w:rsidR="00816143" w:rsidRPr="00CA772A" w:rsidRDefault="00816143" w:rsidP="007B5219">
      <w:pPr>
        <w:pStyle w:val="BodyText"/>
        <w:numPr>
          <w:ilvl w:val="0"/>
          <w:numId w:val="16"/>
        </w:numPr>
        <w:spacing w:after="0"/>
      </w:pPr>
      <w:r>
        <w:t>I voucher dovranno essere assegnati durante il periodo della copertura SA.</w:t>
      </w:r>
    </w:p>
    <w:p w:rsidR="00816143" w:rsidRPr="00CA772A" w:rsidRDefault="00816143" w:rsidP="007B5219">
      <w:pPr>
        <w:pStyle w:val="BodyText"/>
        <w:numPr>
          <w:ilvl w:val="0"/>
          <w:numId w:val="16"/>
        </w:numPr>
        <w:spacing w:after="0"/>
      </w:pPr>
      <w:r>
        <w:t>I voucher scadranno dopo 180 giorni dalla data di assegnazione, indipendentemente dalla data di scadenza della copertura SA. Tutti i servizi dovranno essere erogati (formazione fornita e voucher riscattato) prima della scadenza dei voucher. Per i voucher, la cui data di scadenza è precedente a quella della copertura SA, verrà ripristinato il pool disponibile di Giorni Voucher Corsi.</w:t>
      </w:r>
    </w:p>
    <w:p w:rsidR="00816143" w:rsidRPr="00CA772A" w:rsidRDefault="00816143" w:rsidP="007B5219">
      <w:pPr>
        <w:pStyle w:val="BodyText"/>
        <w:numPr>
          <w:ilvl w:val="0"/>
          <w:numId w:val="16"/>
        </w:numPr>
        <w:spacing w:after="0"/>
      </w:pPr>
      <w:r>
        <w:t>Ad eccezione delle Sessioni Dimostrative, un giorno Voucher Corsi corrisponde all</w:t>
      </w:r>
      <w:r w:rsidR="00D1524D">
        <w:t>’</w:t>
      </w:r>
      <w:r>
        <w:t>equivalente di un giorno della sessione di formazione.</w:t>
      </w:r>
      <w:r w:rsidR="00F659C4">
        <w:t xml:space="preserve"> </w:t>
      </w:r>
      <w:r>
        <w:t>Per le Sessioni Dimostrative un giorno Voucher Corsi corrisponde a una Sessione Dimostrativa.</w:t>
      </w:r>
    </w:p>
    <w:p w:rsidR="00816143" w:rsidRPr="00CA772A" w:rsidRDefault="000F116B" w:rsidP="007B5219">
      <w:pPr>
        <w:pStyle w:val="BodyText"/>
        <w:numPr>
          <w:ilvl w:val="0"/>
          <w:numId w:val="16"/>
        </w:numPr>
        <w:spacing w:after="0"/>
      </w:pPr>
      <w:r>
        <w:t>La società dovrà riscattare i Voucher Corsi di quattro o più gruppi di Sessioni Dimostrative.</w:t>
      </w:r>
    </w:p>
    <w:p w:rsidR="00816143" w:rsidRPr="00CA772A" w:rsidRDefault="00816143" w:rsidP="007B5219">
      <w:pPr>
        <w:pStyle w:val="BodyText"/>
        <w:numPr>
          <w:ilvl w:val="0"/>
          <w:numId w:val="16"/>
        </w:numPr>
        <w:spacing w:after="0"/>
      </w:pPr>
      <w:r>
        <w:t>I Voucher Corsi riscattati per le Sessioni Dimostrative, diversamente dai Voucher Corsi riscattati per altre sessioni di formazione, non sono limitati a una sola persona.</w:t>
      </w:r>
    </w:p>
    <w:p w:rsidR="00816143" w:rsidRPr="00CA772A" w:rsidRDefault="00816143" w:rsidP="007B5219">
      <w:pPr>
        <w:pStyle w:val="BodyText"/>
        <w:numPr>
          <w:ilvl w:val="0"/>
          <w:numId w:val="16"/>
        </w:numPr>
        <w:spacing w:after="0"/>
      </w:pPr>
      <w:r>
        <w:t xml:space="preserve">I voucher potranno essere utilizzati per riservare il corso con un solo Microsoft Learning Partner qualificato alla volta. </w:t>
      </w:r>
    </w:p>
    <w:p w:rsidR="00816143" w:rsidRPr="00CA772A" w:rsidRDefault="00816143" w:rsidP="007B5219">
      <w:pPr>
        <w:pStyle w:val="BodyText"/>
        <w:numPr>
          <w:ilvl w:val="0"/>
          <w:numId w:val="16"/>
        </w:numPr>
        <w:spacing w:after="0"/>
      </w:pPr>
      <w:r>
        <w:t>Il Microsoft Learning Partner si riserva il diritto di annullare una lezione in conformità ai criteri di annullamento locali.</w:t>
      </w:r>
    </w:p>
    <w:p w:rsidR="00816143" w:rsidRPr="00CA772A" w:rsidRDefault="00816143" w:rsidP="007B5219">
      <w:pPr>
        <w:pStyle w:val="BodyText"/>
        <w:numPr>
          <w:ilvl w:val="0"/>
          <w:numId w:val="16"/>
        </w:numPr>
        <w:spacing w:after="0"/>
      </w:pPr>
      <w:r>
        <w:t>I voucher sono validi per i Microsoft Learning Partner che partecipano. Potranno essere utilizzati con qualsiasi Microsoft Learning Partner qualificato a livello mondiale.</w:t>
      </w:r>
      <w:r w:rsidR="00F659C4">
        <w:t xml:space="preserve"> </w:t>
      </w:r>
    </w:p>
    <w:p w:rsidR="00816143" w:rsidRPr="00CA772A" w:rsidRDefault="000F116B" w:rsidP="007B5219">
      <w:pPr>
        <w:pStyle w:val="BodyText"/>
        <w:numPr>
          <w:ilvl w:val="0"/>
          <w:numId w:val="16"/>
        </w:numPr>
        <w:spacing w:after="0"/>
      </w:pPr>
      <w:r>
        <w:t>La società dovrà fornire al Microsoft Learning Partner le informazioni relative ai voucher da applicare nei confronti del corso prima del termine del corso stesso allo scopo di utilizzare i voucher come forma di pagamento.</w:t>
      </w:r>
      <w:r w:rsidR="00F659C4">
        <w:t xml:space="preserve"> </w:t>
      </w:r>
    </w:p>
    <w:p w:rsidR="00816143" w:rsidRPr="00CA772A" w:rsidRDefault="00816143" w:rsidP="007B5219">
      <w:pPr>
        <w:pStyle w:val="BodyText"/>
        <w:numPr>
          <w:ilvl w:val="0"/>
          <w:numId w:val="16"/>
        </w:numPr>
        <w:spacing w:after="0"/>
      </w:pPr>
      <w:r>
        <w:t>Microsoft non è responsabile dei voucher persi, rubati, collocati fuori posto o maltrattati.</w:t>
      </w:r>
    </w:p>
    <w:p w:rsidR="00816143" w:rsidRPr="00CA772A" w:rsidRDefault="00816143" w:rsidP="007B5219">
      <w:pPr>
        <w:pStyle w:val="BodyText"/>
        <w:numPr>
          <w:ilvl w:val="0"/>
          <w:numId w:val="16"/>
        </w:numPr>
        <w:spacing w:after="0"/>
      </w:pPr>
      <w:r>
        <w:t>La diminuzione del numero di licenze qualificanti per le quali è stata acquistata la copertura SA in seguito a resi e ad altre modifiche apportate alla fatturazione, ove ammessa, potrà ridurre l</w:t>
      </w:r>
      <w:r w:rsidR="00D1524D">
        <w:t>’</w:t>
      </w:r>
      <w:r>
        <w:t>idoneità dei livelli di servizio dei Voucher Corsi della società.</w:t>
      </w:r>
    </w:p>
    <w:p w:rsidR="00816143" w:rsidRPr="00CA772A" w:rsidRDefault="00816143" w:rsidP="007B5219">
      <w:pPr>
        <w:pStyle w:val="BodyText"/>
        <w:numPr>
          <w:ilvl w:val="0"/>
          <w:numId w:val="16"/>
        </w:numPr>
        <w:spacing w:after="0"/>
      </w:pPr>
      <w:r>
        <w:t>I voucher possono essere riscattati solo dall</w:t>
      </w:r>
      <w:r w:rsidR="00D1524D">
        <w:t>’</w:t>
      </w:r>
      <w:r>
        <w:t>organizzazione idonea a ricevere il vantaggio.</w:t>
      </w:r>
    </w:p>
    <w:p w:rsidR="00816143" w:rsidRPr="00CA772A" w:rsidRDefault="00816143" w:rsidP="007B5219">
      <w:pPr>
        <w:pStyle w:val="BodyText"/>
        <w:numPr>
          <w:ilvl w:val="0"/>
          <w:numId w:val="16"/>
        </w:numPr>
        <w:spacing w:after="0"/>
      </w:pPr>
      <w:r>
        <w:t>I servizi erogati con i voucher vengono forniti ai sensi di un contratto tra la società e il Partner di Planning Services; Microsoft non è responsabile dell</w:t>
      </w:r>
      <w:r w:rsidR="00D1524D">
        <w:t>’</w:t>
      </w:r>
      <w:r>
        <w:t>eventuale funzionamento o mancato funzionamento dei servizi da parte del Partner di Planning Services.</w:t>
      </w:r>
    </w:p>
    <w:p w:rsidR="00405B6B" w:rsidRPr="00CA772A" w:rsidRDefault="00816143" w:rsidP="007B5219">
      <w:pPr>
        <w:pStyle w:val="BodyText"/>
        <w:numPr>
          <w:ilvl w:val="0"/>
          <w:numId w:val="16"/>
        </w:numPr>
        <w:spacing w:after="0"/>
      </w:pPr>
      <w:r>
        <w:t>La tabella riportata sopra mostra i giorni di corso disponibili in base a un acquisto triennale completo eseguito tramite un Account per gli Acquisti.</w:t>
      </w:r>
      <w:r w:rsidR="00F659C4">
        <w:t xml:space="preserve"> </w:t>
      </w:r>
      <w:r>
        <w:t>Qualora il periodo di validità della copertura SA sia inferiore a 3 anni, il numero di Giorni di Corso cui la società avrà diritto sarà di conseguenza ripartito in misura proporzionale.</w:t>
      </w:r>
    </w:p>
    <w:p w:rsidR="005944C1" w:rsidRPr="00CA772A" w:rsidRDefault="005944C1" w:rsidP="009A7988">
      <w:pPr>
        <w:pStyle w:val="Heading2"/>
      </w:pPr>
      <w:bookmarkStart w:id="34" w:name="_24x7_Problem_Resolution_1"/>
      <w:bookmarkStart w:id="35" w:name="_Supporto_per_la"/>
      <w:bookmarkStart w:id="36" w:name="_Toc403380305"/>
      <w:bookmarkStart w:id="37" w:name="_Toc416105616"/>
      <w:bookmarkEnd w:id="34"/>
      <w:bookmarkEnd w:id="35"/>
      <w:r>
        <w:t>Supporto per la Risoluzione dei Problemi 24x7</w:t>
      </w:r>
      <w:bookmarkEnd w:id="36"/>
      <w:bookmarkEnd w:id="37"/>
      <w:r>
        <w:t xml:space="preserve"> </w:t>
      </w:r>
    </w:p>
    <w:p w:rsidR="005944C1" w:rsidRPr="00CA772A" w:rsidRDefault="00E23144" w:rsidP="005944C1">
      <w:r>
        <w:rPr>
          <w:color w:val="58595B" w:themeColor="text1"/>
          <w:szCs w:val="18"/>
        </w:rPr>
        <w:t>Qualora la società disponga della copertura SA, avrà diritto al Supporto per la Risoluzione dei Problemi 24x7.</w:t>
      </w:r>
      <w:r w:rsidR="00F659C4">
        <w:rPr>
          <w:color w:val="58595B" w:themeColor="text1"/>
          <w:szCs w:val="18"/>
        </w:rPr>
        <w:t xml:space="preserve"> </w:t>
      </w:r>
      <w:r>
        <w:rPr>
          <w:color w:val="58595B" w:themeColor="text1"/>
          <w:szCs w:val="18"/>
        </w:rPr>
        <w:t>Il servizio Supporto per la Risoluzione dei Problemi 24x7 fornisce assistenza quando, durante l</w:t>
      </w:r>
      <w:r w:rsidR="00D1524D">
        <w:rPr>
          <w:color w:val="58595B" w:themeColor="text1"/>
          <w:szCs w:val="18"/>
        </w:rPr>
        <w:t>’</w:t>
      </w:r>
      <w:r>
        <w:rPr>
          <w:color w:val="58595B" w:themeColor="text1"/>
          <w:szCs w:val="18"/>
        </w:rPr>
        <w:t>utilizzo dei prodotti Microsoft, si verificano problemi con sintomi specifici, la cui causa sia ragionevolmente attribuibile ai prodotti Microsoft.</w:t>
      </w:r>
      <w:r w:rsidR="00F659C4">
        <w:rPr>
          <w:color w:val="58595B" w:themeColor="text1"/>
          <w:szCs w:val="18"/>
        </w:rPr>
        <w:t xml:space="preserve"> </w:t>
      </w:r>
      <w:r>
        <w:rPr>
          <w:color w:val="58595B" w:themeColor="text1"/>
          <w:szCs w:val="18"/>
        </w:rPr>
        <w:t>Microsoft porrà in essere sforzi ragionevoli per fornire assistenza alla società in caso di richieste di supporto, conformemente ai criteri di Supporto dei Prodotti Microsoft.</w:t>
      </w:r>
      <w:r w:rsidR="00F659C4">
        <w:rPr>
          <w:color w:val="58595B" w:themeColor="text1"/>
          <w:szCs w:val="18"/>
        </w:rPr>
        <w:t xml:space="preserve"> </w:t>
      </w:r>
      <w:r>
        <w:rPr>
          <w:color w:val="58595B" w:themeColor="text1"/>
          <w:szCs w:val="18"/>
        </w:rPr>
        <w:t xml:space="preserve">Microsoft si riserva il diritto di rifiutare richieste irragionevoli di servizi di supporto e potrà talvolta richiedere alla società di stipulare un ulteriore contratto di servizio a un costo aggiuntivo. </w:t>
      </w:r>
    </w:p>
    <w:p w:rsidR="005944C1" w:rsidRPr="00CA772A" w:rsidRDefault="005944C1" w:rsidP="002123CF">
      <w:pPr>
        <w:spacing w:before="120"/>
      </w:pPr>
      <w:r>
        <w:rPr>
          <w:color w:val="58595B" w:themeColor="text1"/>
          <w:szCs w:val="18"/>
        </w:rPr>
        <w:t>Microsoft può aggiungere il supporto per i nuovi Prodotti o interrompere il supporto per i Prodotti già esistenti. Potrebbero esservi casi nei quali l</w:t>
      </w:r>
      <w:r w:rsidR="00D1524D">
        <w:rPr>
          <w:color w:val="58595B" w:themeColor="text1"/>
          <w:szCs w:val="18"/>
        </w:rPr>
        <w:t>’</w:t>
      </w:r>
      <w:r>
        <w:rPr>
          <w:color w:val="58595B" w:themeColor="text1"/>
          <w:szCs w:val="18"/>
        </w:rPr>
        <w:t>implementazione, da parte delle organizzazioni, dei prodotti Microsoft non possa di fatto essere oggetto di supporto. Qualora giunga a tale conclusione, Microsoft informerà la società, essendo tale comunicazione parte della fornitura dei servizi di supporto. Qualora l</w:t>
      </w:r>
      <w:r w:rsidR="00D1524D">
        <w:rPr>
          <w:color w:val="58595B" w:themeColor="text1"/>
          <w:szCs w:val="18"/>
        </w:rPr>
        <w:t>’</w:t>
      </w:r>
      <w:r>
        <w:rPr>
          <w:color w:val="58595B" w:themeColor="text1"/>
          <w:szCs w:val="18"/>
        </w:rPr>
        <w:t>organizzazione non modifichi l</w:t>
      </w:r>
      <w:r w:rsidR="00D1524D">
        <w:rPr>
          <w:color w:val="58595B" w:themeColor="text1"/>
          <w:szCs w:val="18"/>
        </w:rPr>
        <w:t>’</w:t>
      </w:r>
      <w:r>
        <w:rPr>
          <w:color w:val="58595B" w:themeColor="text1"/>
          <w:szCs w:val="18"/>
        </w:rPr>
        <w:t xml:space="preserve">implementazione al fine di poterla rendere effettivamente oggetto di supporto entro </w:t>
      </w:r>
      <w:r>
        <w:rPr>
          <w:color w:val="58595B" w:themeColor="text1"/>
          <w:szCs w:val="18"/>
        </w:rPr>
        <w:lastRenderedPageBreak/>
        <w:t xml:space="preserve">i 30 giorni successivi a tale comunicazione, Microsoft non avrà alcuna obbligazione di fornire ulteriori servizi di supporto per tale implementazione. Tuttavia, Microsoft continuerà a fornire supporto per le altre implementazioni della società coperte dalle condizioni. </w:t>
      </w:r>
    </w:p>
    <w:p w:rsidR="0046773C" w:rsidRPr="00CA772A" w:rsidRDefault="005944C1" w:rsidP="002123CF">
      <w:pPr>
        <w:spacing w:before="120"/>
      </w:pPr>
      <w:r>
        <w:rPr>
          <w:color w:val="58595B" w:themeColor="text1"/>
          <w:szCs w:val="18"/>
        </w:rPr>
        <w:t>Una richiesta di assistenza break-fix, definita anche intervento, è costituita da un</w:t>
      </w:r>
      <w:r w:rsidR="00D1524D">
        <w:rPr>
          <w:color w:val="58595B" w:themeColor="text1"/>
          <w:szCs w:val="18"/>
        </w:rPr>
        <w:t>’</w:t>
      </w:r>
      <w:r>
        <w:rPr>
          <w:color w:val="58595B" w:themeColor="text1"/>
          <w:szCs w:val="18"/>
        </w:rPr>
        <w:t>unica problematica di assistenza e dal corrispondente impegno necessario per risolverla.</w:t>
      </w:r>
      <w:r w:rsidR="00F659C4">
        <w:rPr>
          <w:color w:val="58595B" w:themeColor="text1"/>
          <w:szCs w:val="18"/>
        </w:rPr>
        <w:t xml:space="preserve"> </w:t>
      </w:r>
      <w:r>
        <w:rPr>
          <w:color w:val="58595B" w:themeColor="text1"/>
          <w:szCs w:val="18"/>
        </w:rPr>
        <w:t>Un</w:t>
      </w:r>
      <w:r w:rsidR="00D1524D">
        <w:rPr>
          <w:color w:val="58595B" w:themeColor="text1"/>
          <w:szCs w:val="18"/>
        </w:rPr>
        <w:t>’</w:t>
      </w:r>
      <w:r>
        <w:rPr>
          <w:color w:val="58595B" w:themeColor="text1"/>
          <w:szCs w:val="18"/>
        </w:rPr>
        <w:t>unica problematica di assistenza è altresì un problema che non può essere suddiviso in problematiche subordinate.</w:t>
      </w:r>
      <w:r w:rsidR="00F659C4">
        <w:rPr>
          <w:color w:val="58595B" w:themeColor="text1"/>
          <w:szCs w:val="18"/>
        </w:rPr>
        <w:t xml:space="preserve"> </w:t>
      </w:r>
      <w:r>
        <w:rPr>
          <w:color w:val="58595B" w:themeColor="text1"/>
          <w:szCs w:val="18"/>
        </w:rPr>
        <w:t>Se un problema è composto da problematiche subordinate, ogni problematica dovrà essere considerata un intervento distinto.</w:t>
      </w:r>
      <w:r w:rsidR="00F659C4">
        <w:rPr>
          <w:color w:val="58595B" w:themeColor="text1"/>
          <w:szCs w:val="18"/>
        </w:rPr>
        <w:t xml:space="preserve"> </w:t>
      </w:r>
      <w:r>
        <w:rPr>
          <w:color w:val="58595B" w:themeColor="text1"/>
          <w:szCs w:val="18"/>
        </w:rPr>
        <w:t>In situazioni specifiche Microsoft fornirà alla società una modifica al codice del software del prodotto Microsoft disponibile sul mercato per risolvere problemi critici specifici (“Hotfix”) in risposta alla richiesta di assistenza in garanzia.</w:t>
      </w:r>
      <w:r w:rsidR="00F659C4">
        <w:rPr>
          <w:color w:val="58595B" w:themeColor="text1"/>
          <w:szCs w:val="18"/>
        </w:rPr>
        <w:t xml:space="preserve"> </w:t>
      </w:r>
      <w:r>
        <w:rPr>
          <w:color w:val="58595B" w:themeColor="text1"/>
          <w:szCs w:val="18"/>
        </w:rPr>
        <w:t>Le Hotfix sono sviluppate per risolvere problemi specifici della società e non vengono sottoposte a un ciclo completo di test.</w:t>
      </w:r>
      <w:r w:rsidR="00F659C4">
        <w:rPr>
          <w:color w:val="58595B" w:themeColor="text1"/>
          <w:szCs w:val="18"/>
        </w:rPr>
        <w:t xml:space="preserve"> </w:t>
      </w:r>
      <w:r>
        <w:rPr>
          <w:color w:val="58595B" w:themeColor="text1"/>
          <w:szCs w:val="18"/>
        </w:rPr>
        <w:t>Salvo diversamente specificato nel presente documento, le Hotfix non potranno essere distribuite a terzi non consociati senza il preventivo consenso scritto di Microsoft.</w:t>
      </w:r>
    </w:p>
    <w:p w:rsidR="005944C1" w:rsidRPr="00CA772A" w:rsidRDefault="005944C1" w:rsidP="002123CF">
      <w:pPr>
        <w:spacing w:before="120" w:after="120"/>
      </w:pPr>
      <w:r>
        <w:rPr>
          <w:color w:val="58595B" w:themeColor="text1"/>
          <w:szCs w:val="18"/>
        </w:rPr>
        <w:t>I prodotti disponibili tramite Contratti Multilicenza e che usufruiscono del Supporto Mainstream come stabilito nei Criteri per il Ciclo di Vita del Supporto di Microsoft sono idonei a ricevere il Supporto per la Risoluzione dei Problemi 24x7.</w:t>
      </w:r>
      <w:r w:rsidR="00F659C4">
        <w:rPr>
          <w:color w:val="58595B" w:themeColor="text1"/>
          <w:szCs w:val="18"/>
        </w:rPr>
        <w:t xml:space="preserve"> </w:t>
      </w:r>
      <w:r>
        <w:rPr>
          <w:color w:val="58595B" w:themeColor="text1"/>
          <w:szCs w:val="18"/>
        </w:rPr>
        <w:t>L</w:t>
      </w:r>
      <w:r w:rsidR="00D1524D">
        <w:rPr>
          <w:color w:val="58595B" w:themeColor="text1"/>
          <w:szCs w:val="18"/>
        </w:rPr>
        <w:t>’</w:t>
      </w:r>
      <w:r>
        <w:rPr>
          <w:color w:val="58595B" w:themeColor="text1"/>
          <w:szCs w:val="18"/>
        </w:rPr>
        <w:t>idoneità del prodotto a ricevere supporto telefonico è collegata alla disponibilità dell</w:t>
      </w:r>
      <w:r w:rsidR="00D1524D">
        <w:rPr>
          <w:color w:val="58595B" w:themeColor="text1"/>
          <w:szCs w:val="18"/>
        </w:rPr>
        <w:t>’</w:t>
      </w:r>
      <w:r>
        <w:rPr>
          <w:color w:val="58595B" w:themeColor="text1"/>
          <w:szCs w:val="18"/>
        </w:rPr>
        <w:t>offerta SA per il Prodotto. Nei casi in cui non sia disponibile alcuna opzione SA per il server, ma per le CAL, i punti relativi alle CAL prendono in considerazione gli interventi utilizzabili per i Prodotti idonei nella modalità indicata di seguito nell</w:t>
      </w:r>
      <w:r w:rsidR="00D1524D">
        <w:rPr>
          <w:color w:val="58595B" w:themeColor="text1"/>
          <w:szCs w:val="18"/>
        </w:rPr>
        <w:t>’</w:t>
      </w:r>
      <w:r>
        <w:rPr>
          <w:color w:val="58595B" w:themeColor="text1"/>
          <w:szCs w:val="18"/>
        </w:rPr>
        <w:t>Articolo Interventi Con Supporto Telefonico.</w:t>
      </w:r>
      <w:r w:rsidR="00F659C4">
        <w:rPr>
          <w:color w:val="58595B" w:themeColor="text1"/>
          <w:szCs w:val="18"/>
        </w:rPr>
        <w:t xml:space="preserve"> </w:t>
      </w:r>
      <w:r>
        <w:rPr>
          <w:color w:val="58595B" w:themeColor="text1"/>
          <w:szCs w:val="18"/>
        </w:rPr>
        <w:t>Per consultare i criteri di assistenza e supporto, la società potrà fare riferimento alla sezione specifica del Prodotto nella Lista dei Prodotti.</w:t>
      </w:r>
      <w:r w:rsidR="00F659C4">
        <w:rPr>
          <w:color w:val="58595B" w:themeColor="text1"/>
          <w:szCs w:val="18"/>
        </w:rPr>
        <w:t xml:space="preserve"> </w:t>
      </w:r>
      <w:r>
        <w:rPr>
          <w:color w:val="58595B" w:themeColor="text1"/>
          <w:szCs w:val="18"/>
        </w:rPr>
        <w:t xml:space="preserve">Sono idonee anche le versioni precedenti dei Prodotti per cui </w:t>
      </w:r>
      <w:r w:rsidR="00131F5A">
        <w:rPr>
          <w:color w:val="58595B" w:themeColor="text1"/>
          <w:szCs w:val="18"/>
        </w:rPr>
        <w:br/>
      </w:r>
      <w:r>
        <w:rPr>
          <w:color w:val="58595B" w:themeColor="text1"/>
          <w:szCs w:val="18"/>
        </w:rPr>
        <w:t>è previsto il Supporto Mainstream e che la società sceglie di utilizzare al posto della versione con licenza in uso.</w:t>
      </w:r>
      <w:r w:rsidR="00F659C4">
        <w:rPr>
          <w:color w:val="58595B" w:themeColor="text1"/>
          <w:szCs w:val="18"/>
        </w:rPr>
        <w:t xml:space="preserve"> </w:t>
      </w:r>
      <w:r>
        <w:rPr>
          <w:color w:val="58595B" w:themeColor="text1"/>
          <w:szCs w:val="18"/>
        </w:rPr>
        <w:t>Sono esclusi la Developer Edition di tutti i server, i prodotti HED e gli Abbonamenti a MSDN.</w:t>
      </w:r>
    </w:p>
    <w:p w:rsidR="005944C1" w:rsidRPr="00CA772A" w:rsidRDefault="005944C1" w:rsidP="005944C1">
      <w:r>
        <w:rPr>
          <w:color w:val="58595B" w:themeColor="text1"/>
          <w:szCs w:val="18"/>
        </w:rPr>
        <w:t>Il Supporto per la Risoluzione dei Problemi 24x7 assegna alla società un determinato numero di interventi e le fornisce i contatti cui rivolgersi per richiedere tali interventi. Il supporto tecnico può essere avviato formulando le richieste di intervento in formato elettronico, tramite Web o per telefono. Disposizioni diverse si applicano a ciascun tipo di strumento.</w:t>
      </w:r>
      <w:r w:rsidR="00F659C4">
        <w:rPr>
          <w:color w:val="58595B" w:themeColor="text1"/>
          <w:szCs w:val="18"/>
        </w:rPr>
        <w:t xml:space="preserve"> </w:t>
      </w:r>
    </w:p>
    <w:p w:rsidR="005944C1" w:rsidRPr="00CA772A" w:rsidRDefault="005944C1" w:rsidP="005944C1">
      <w:pPr>
        <w:pStyle w:val="Thirdheading"/>
      </w:pPr>
      <w:r>
        <w:rPr>
          <w:b/>
        </w:rPr>
        <w:t>Interventi Con Supporto Telefonico</w:t>
      </w:r>
    </w:p>
    <w:p w:rsidR="005944C1" w:rsidRPr="00CA772A" w:rsidRDefault="005944C1" w:rsidP="005944C1">
      <w:r>
        <w:rPr>
          <w:color w:val="58595B" w:themeColor="text1"/>
          <w:szCs w:val="18"/>
        </w:rPr>
        <w:t>Il numero di interventi per cui è consentito richiedere il supporto telefonico varia in base ai punti ottenuti tramite i vantaggi di SA.</w:t>
      </w:r>
      <w:r w:rsidR="00F659C4">
        <w:rPr>
          <w:color w:val="58595B" w:themeColor="text1"/>
          <w:szCs w:val="18"/>
        </w:rPr>
        <w:t xml:space="preserve"> </w:t>
      </w:r>
      <w:r>
        <w:rPr>
          <w:color w:val="58595B" w:themeColor="text1"/>
          <w:szCs w:val="18"/>
        </w:rPr>
        <w:t>Qualora la società disponga della copertura SA su almeno un Prodotto software Server qualificante, ha diritto a un intervento gratuito.</w:t>
      </w:r>
      <w:r w:rsidR="00F659C4">
        <w:rPr>
          <w:rFonts w:cs="Tahoma"/>
          <w:color w:val="58595B" w:themeColor="text1"/>
          <w:szCs w:val="18"/>
        </w:rPr>
        <w:t xml:space="preserve"> </w:t>
      </w:r>
      <w:r>
        <w:rPr>
          <w:rFonts w:cs="Tahoma"/>
          <w:color w:val="58595B" w:themeColor="text1"/>
          <w:szCs w:val="18"/>
        </w:rPr>
        <w:t>Il numero di interventi con supporto telefonico ai quali la società è autorizzata si basa sui punti totali calcolati guadagnati attraverso l</w:t>
      </w:r>
      <w:r w:rsidR="00D1524D">
        <w:rPr>
          <w:rFonts w:cs="Tahoma"/>
          <w:color w:val="58595B" w:themeColor="text1"/>
          <w:szCs w:val="18"/>
        </w:rPr>
        <w:t>’</w:t>
      </w:r>
      <w:r>
        <w:rPr>
          <w:color w:val="58595B" w:themeColor="text1"/>
          <w:szCs w:val="18"/>
        </w:rPr>
        <w:t>Account per gli Acquisti, come indicato di seguito (la società potrà fare riferimento all</w:t>
      </w:r>
      <w:r w:rsidR="00D1524D">
        <w:rPr>
          <w:color w:val="58595B" w:themeColor="text1"/>
          <w:szCs w:val="18"/>
        </w:rPr>
        <w:t>’</w:t>
      </w:r>
      <w:r>
        <w:rPr>
          <w:color w:val="58595B" w:themeColor="text1"/>
          <w:szCs w:val="18"/>
        </w:rPr>
        <w:t>Articolo “Calcolo dei Punti per i Vantaggi di Software Assurance per il Contratto MPSA” del presente documento per conoscere come vengono calcolati i punti per i Vantaggi di SA):</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rsidTr="008E0B32">
        <w:trPr>
          <w:tblHeader/>
        </w:trPr>
        <w:tc>
          <w:tcPr>
            <w:tcW w:w="3060" w:type="dxa"/>
            <w:shd w:val="clear" w:color="auto" w:fill="5F497A" w:themeFill="accent4" w:themeFillShade="BF"/>
            <w:vAlign w:val="center"/>
          </w:tcPr>
          <w:p w:rsidR="005944C1" w:rsidRPr="005B13F2" w:rsidRDefault="005944C1" w:rsidP="00E16B45">
            <w:pPr>
              <w:pStyle w:val="ProductList-Body"/>
              <w:spacing w:before="20" w:after="20"/>
              <w:rPr>
                <w:color w:val="FFFFFF" w:themeColor="background1"/>
                <w:szCs w:val="18"/>
              </w:rPr>
            </w:pPr>
            <w:r>
              <w:rPr>
                <w:color w:val="FFFFFF" w:themeColor="background1"/>
                <w:szCs w:val="18"/>
              </w:rPr>
              <w:t>Pool</w:t>
            </w:r>
          </w:p>
        </w:tc>
        <w:tc>
          <w:tcPr>
            <w:tcW w:w="3240" w:type="dxa"/>
            <w:shd w:val="clear" w:color="auto" w:fill="5F497A" w:themeFill="accent4" w:themeFillShade="BF"/>
            <w:vAlign w:val="center"/>
          </w:tcPr>
          <w:p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Punti per intervento con supporto telefonico</w:t>
            </w:r>
          </w:p>
        </w:tc>
      </w:tr>
      <w:tr w:rsidR="005944C1" w:rsidRPr="005B13F2" w:rsidTr="008E0B32">
        <w:trPr>
          <w:trHeight w:val="60"/>
        </w:trPr>
        <w:tc>
          <w:tcPr>
            <w:tcW w:w="3060" w:type="dxa"/>
          </w:tcPr>
          <w:p w:rsidR="005944C1" w:rsidRPr="00C118D4" w:rsidRDefault="005944C1" w:rsidP="00E16B45">
            <w:pPr>
              <w:pStyle w:val="ProductList-Body"/>
              <w:rPr>
                <w:color w:val="58595B" w:themeColor="text1"/>
                <w:szCs w:val="18"/>
              </w:rPr>
            </w:pPr>
            <w:r>
              <w:rPr>
                <w:rFonts w:cs="Tahoma"/>
                <w:color w:val="58595B" w:themeColor="text1"/>
                <w:szCs w:val="18"/>
              </w:rPr>
              <w:t>Applicazioni e Sistemi (combinati)</w:t>
            </w:r>
          </w:p>
        </w:tc>
        <w:tc>
          <w:tcPr>
            <w:tcW w:w="3240" w:type="dxa"/>
            <w:vAlign w:val="center"/>
          </w:tcPr>
          <w:p w:rsidR="005944C1" w:rsidRPr="00C118D4" w:rsidRDefault="00F16F17" w:rsidP="002123CF">
            <w:pPr>
              <w:pStyle w:val="ProductList-Body"/>
              <w:jc w:val="center"/>
              <w:rPr>
                <w:color w:val="58595B" w:themeColor="text1"/>
                <w:szCs w:val="18"/>
              </w:rPr>
            </w:pPr>
            <w:r>
              <w:rPr>
                <w:color w:val="58595B" w:themeColor="text1"/>
                <w:szCs w:val="18"/>
              </w:rPr>
              <w:t>2.</w:t>
            </w:r>
            <w:r w:rsidR="005944C1">
              <w:rPr>
                <w:color w:val="58595B" w:themeColor="text1"/>
                <w:szCs w:val="18"/>
              </w:rPr>
              <w:t>000</w:t>
            </w:r>
          </w:p>
        </w:tc>
      </w:tr>
      <w:tr w:rsidR="005944C1" w:rsidRPr="005B13F2" w:rsidTr="008E0B32">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Server</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rsidTr="008E0B32">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bl>
    <w:p w:rsidR="005944C1" w:rsidRPr="00CA772A" w:rsidRDefault="005944C1" w:rsidP="005944C1">
      <w:pPr>
        <w:ind w:firstLine="180"/>
      </w:pPr>
    </w:p>
    <w:p w:rsidR="005944C1" w:rsidRPr="00CA772A" w:rsidRDefault="005944C1" w:rsidP="002123CF">
      <w:pPr>
        <w:pStyle w:val="ProductList-Body"/>
        <w:spacing w:after="120"/>
      </w:pPr>
      <w:r>
        <w:rPr>
          <w:rFonts w:ascii="Segoe UI" w:hAnsi="Segoe UI"/>
          <w:color w:val="58595B" w:themeColor="text1"/>
          <w:szCs w:val="18"/>
        </w:rPr>
        <w:t>Gli interventi sono autorizzati nel corso di validità della copertura SA e possono essere utilizzati sin dall</w:t>
      </w:r>
      <w:r w:rsidR="00D1524D">
        <w:rPr>
          <w:rFonts w:ascii="Segoe UI" w:hAnsi="Segoe UI"/>
          <w:color w:val="58595B" w:themeColor="text1"/>
          <w:szCs w:val="18"/>
        </w:rPr>
        <w:t>’</w:t>
      </w:r>
      <w:r>
        <w:rPr>
          <w:rFonts w:ascii="Segoe UI" w:hAnsi="Segoe UI"/>
          <w:color w:val="58595B" w:themeColor="text1"/>
          <w:szCs w:val="18"/>
        </w:rPr>
        <w:t>inizio della copertura SA, indipendentemente dal fatto che la società abbia scelto o meno i pagamenti dilazionati. Gli acquisti effettuati dopo l</w:t>
      </w:r>
      <w:r w:rsidR="00D1524D">
        <w:rPr>
          <w:rFonts w:ascii="Segoe UI" w:hAnsi="Segoe UI"/>
          <w:color w:val="58595B" w:themeColor="text1"/>
          <w:szCs w:val="18"/>
        </w:rPr>
        <w:t>’</w:t>
      </w:r>
      <w:r>
        <w:rPr>
          <w:rFonts w:ascii="Segoe UI" w:hAnsi="Segoe UI"/>
          <w:color w:val="58595B" w:themeColor="text1"/>
          <w:szCs w:val="18"/>
        </w:rPr>
        <w:t>ordine iniziale comporteranno un nuovo calcolo degli interventi assegnati e della concessione annuale.</w:t>
      </w:r>
      <w:r w:rsidR="00F659C4">
        <w:rPr>
          <w:rFonts w:ascii="Segoe UI" w:hAnsi="Segoe UI"/>
          <w:color w:val="58595B" w:themeColor="text1"/>
          <w:szCs w:val="18"/>
        </w:rPr>
        <w:t xml:space="preserve"> </w:t>
      </w:r>
      <w:r>
        <w:rPr>
          <w:rFonts w:ascii="Segoe UI" w:hAnsi="Segoe UI"/>
          <w:color w:val="58595B" w:themeColor="text1"/>
          <w:szCs w:val="18"/>
        </w:rPr>
        <w:t>Gli interventi con Supporto Telefonico non utilizzati scadranno al termine della copertura SA.</w:t>
      </w:r>
      <w:r w:rsidR="00F659C4">
        <w:rPr>
          <w:rFonts w:ascii="Segoe UI" w:hAnsi="Segoe UI"/>
          <w:color w:val="58595B" w:themeColor="text1"/>
          <w:szCs w:val="18"/>
        </w:rPr>
        <w:t xml:space="preserve"> </w:t>
      </w:r>
      <w:r>
        <w:rPr>
          <w:rFonts w:ascii="Segoe UI" w:hAnsi="Segoe UI"/>
          <w:color w:val="58595B" w:themeColor="text1"/>
          <w:szCs w:val="18"/>
        </w:rPr>
        <w:t>Gli Interventi con Supporto Telefonico non potranno essere trasferiti tra Account per gli Acquisti.</w:t>
      </w:r>
    </w:p>
    <w:p w:rsidR="005944C1" w:rsidRPr="00CA772A" w:rsidRDefault="005944C1" w:rsidP="005944C1">
      <w:pPr>
        <w:pStyle w:val="ProductList-Body"/>
      </w:pPr>
      <w:r>
        <w:rPr>
          <w:rFonts w:ascii="Segoe UI" w:hAnsi="Segoe UI"/>
          <w:color w:val="58595B" w:themeColor="text1"/>
          <w:szCs w:val="18"/>
        </w:rPr>
        <w:t>L</w:t>
      </w:r>
      <w:r w:rsidR="00D1524D">
        <w:rPr>
          <w:rFonts w:ascii="Segoe UI" w:hAnsi="Segoe UI"/>
          <w:color w:val="58595B" w:themeColor="text1"/>
          <w:szCs w:val="18"/>
        </w:rPr>
        <w:t>’</w:t>
      </w:r>
      <w:r>
        <w:rPr>
          <w:rFonts w:ascii="Segoe UI" w:hAnsi="Segoe UI"/>
          <w:color w:val="58595B" w:themeColor="text1"/>
          <w:szCs w:val="18"/>
        </w:rPr>
        <w:t xml:space="preserve">accesso al supporto telefonico locale è disponibile durante le ore lavorative indicate sul sito Web </w:t>
      </w:r>
      <w:hyperlink r:id="rId24" w:history="1">
        <w:r>
          <w:rPr>
            <w:rStyle w:val="Hyperlink"/>
            <w:rFonts w:ascii="Segoe UI" w:hAnsi="Segoe UI"/>
            <w:szCs w:val="18"/>
          </w:rPr>
          <w:t>http://support.microsoft.com/gp/saphone</w:t>
        </w:r>
      </w:hyperlink>
      <w:r>
        <w:rPr>
          <w:rFonts w:ascii="Segoe UI" w:hAnsi="Segoe UI"/>
          <w:color w:val="58595B" w:themeColor="text1"/>
          <w:szCs w:val="18"/>
        </w:rPr>
        <w:t>.</w:t>
      </w:r>
      <w:r w:rsidR="00F659C4">
        <w:rPr>
          <w:rFonts w:ascii="Segoe UI" w:hAnsi="Segoe UI"/>
          <w:color w:val="58595B" w:themeColor="text1"/>
          <w:szCs w:val="18"/>
        </w:rPr>
        <w:t xml:space="preserve"> </w:t>
      </w:r>
      <w:r>
        <w:rPr>
          <w:rFonts w:ascii="Segoe UI" w:hAnsi="Segoe UI"/>
          <w:color w:val="58595B" w:themeColor="text1"/>
          <w:szCs w:val="18"/>
        </w:rPr>
        <w:t>Il supporto telefonico dopo le ore lavorative verrà fornito attraverso centri di supporto regionali e internazionali.</w:t>
      </w:r>
      <w:r w:rsidR="00F659C4">
        <w:rPr>
          <w:rFonts w:ascii="Segoe UI" w:hAnsi="Segoe UI"/>
          <w:color w:val="58595B" w:themeColor="text1"/>
          <w:szCs w:val="18"/>
        </w:rPr>
        <w:t xml:space="preserve"> </w:t>
      </w:r>
      <w:r>
        <w:rPr>
          <w:rFonts w:ascii="Segoe UI" w:hAnsi="Segoe UI"/>
          <w:color w:val="58595B" w:themeColor="text1"/>
          <w:szCs w:val="18"/>
        </w:rPr>
        <w:t>Il supporto telefonico dopo le ore lavorative può essere utilizzato esclusivamente per richieste di supporto con impatto commerciale critico.</w:t>
      </w:r>
      <w:r w:rsidR="00F659C4">
        <w:rPr>
          <w:rFonts w:ascii="Segoe UI" w:hAnsi="Segoe UI"/>
          <w:color w:val="58595B" w:themeColor="text1"/>
          <w:szCs w:val="18"/>
        </w:rPr>
        <w:t xml:space="preserve"> </w:t>
      </w:r>
      <w:r>
        <w:rPr>
          <w:rFonts w:ascii="Segoe UI" w:hAnsi="Segoe UI"/>
          <w:color w:val="58595B" w:themeColor="text1"/>
          <w:szCs w:val="18"/>
        </w:rPr>
        <w:t>Le ore lavorative sono definite su base regionale.</w:t>
      </w:r>
      <w:r w:rsidR="00F659C4">
        <w:rPr>
          <w:rFonts w:ascii="Segoe UI" w:hAnsi="Segoe UI"/>
          <w:color w:val="58595B" w:themeColor="text1"/>
          <w:szCs w:val="18"/>
        </w:rPr>
        <w:t xml:space="preserve"> </w:t>
      </w:r>
      <w:r>
        <w:rPr>
          <w:rFonts w:ascii="Segoe UI" w:hAnsi="Segoe UI"/>
          <w:color w:val="58595B" w:themeColor="text1"/>
          <w:szCs w:val="18"/>
        </w:rPr>
        <w:t>Non in tutte le regioni il supporto telefonico è disponibile in tutte le lingue.</w:t>
      </w:r>
    </w:p>
    <w:p w:rsidR="00EE1764" w:rsidRDefault="00EE1764" w:rsidP="00EE1764">
      <w:pPr>
        <w:pStyle w:val="Thirdheading"/>
        <w:rPr>
          <w:b/>
        </w:rPr>
      </w:pPr>
    </w:p>
    <w:p w:rsidR="00EE1764" w:rsidRDefault="00EE1764" w:rsidP="00EE1764">
      <w:pPr>
        <w:pStyle w:val="Thirdheading"/>
        <w:rPr>
          <w:b/>
        </w:rPr>
      </w:pPr>
    </w:p>
    <w:p w:rsidR="00EE1764" w:rsidRDefault="00EE1764" w:rsidP="00EE1764">
      <w:pPr>
        <w:pStyle w:val="Thirdheading"/>
        <w:rPr>
          <w:b/>
        </w:rPr>
      </w:pPr>
    </w:p>
    <w:p w:rsidR="005944C1" w:rsidRPr="00CA772A" w:rsidRDefault="005944C1" w:rsidP="00EE1764">
      <w:pPr>
        <w:pStyle w:val="Thirdheading"/>
      </w:pPr>
      <w:r>
        <w:rPr>
          <w:b/>
        </w:rPr>
        <w:lastRenderedPageBreak/>
        <w:t xml:space="preserve">Interventi basati sul Web </w:t>
      </w:r>
    </w:p>
    <w:p w:rsidR="005944C1" w:rsidRPr="00CA772A" w:rsidRDefault="00E23144" w:rsidP="00EE1764">
      <w:pPr>
        <w:pStyle w:val="ProductList-Body"/>
      </w:pPr>
      <w:r>
        <w:rPr>
          <w:rFonts w:ascii="Segoe UI" w:hAnsi="Segoe UI"/>
          <w:color w:val="58595B" w:themeColor="text1"/>
          <w:szCs w:val="18"/>
        </w:rPr>
        <w:t>Tutti gli acquisti con Standard, Enterprise and Datacenter Edition dei software server che rientrano nella copertura SA hanno accesso ai servizi di Supporto per la Risoluzione dei Problemi basati sul Web, tenendo conto delle necessità.</w:t>
      </w:r>
      <w:r w:rsidR="00F659C4">
        <w:rPr>
          <w:rFonts w:ascii="Segoe UI" w:hAnsi="Segoe UI"/>
          <w:color w:val="58595B" w:themeColor="text1"/>
          <w:szCs w:val="18"/>
        </w:rPr>
        <w:t xml:space="preserve"> </w:t>
      </w:r>
      <w:r>
        <w:rPr>
          <w:rFonts w:ascii="Segoe UI" w:hAnsi="Segoe UI"/>
          <w:color w:val="58595B" w:themeColor="text1"/>
          <w:szCs w:val="18"/>
        </w:rPr>
        <w:t>L</w:t>
      </w:r>
      <w:r w:rsidR="00D1524D">
        <w:rPr>
          <w:rFonts w:ascii="Segoe UI" w:hAnsi="Segoe UI"/>
          <w:color w:val="58595B" w:themeColor="text1"/>
          <w:szCs w:val="18"/>
        </w:rPr>
        <w:t>’</w:t>
      </w:r>
      <w:r>
        <w:rPr>
          <w:rFonts w:ascii="Segoe UI" w:hAnsi="Segoe UI"/>
          <w:color w:val="58595B" w:themeColor="text1"/>
          <w:szCs w:val="18"/>
        </w:rPr>
        <w:t>accesso ai siti di supporto elettronico è disponibile 24 ore al giorno, 7 giorni su 7, ma le risposte vengono fornite durante le Ore Lavorative.</w:t>
      </w:r>
      <w:r w:rsidR="00F659C4">
        <w:rPr>
          <w:rFonts w:ascii="Segoe UI" w:hAnsi="Segoe UI"/>
          <w:color w:val="58595B" w:themeColor="text1"/>
          <w:szCs w:val="18"/>
        </w:rPr>
        <w:t xml:space="preserve"> </w:t>
      </w:r>
      <w:r>
        <w:rPr>
          <w:rFonts w:ascii="Segoe UI" w:hAnsi="Segoe UI"/>
          <w:color w:val="58595B" w:themeColor="text1"/>
          <w:szCs w:val="18"/>
        </w:rPr>
        <w:t>La società dovrà consultare le Variazioni delle Ore Lavorative in Base alla Regione nel precedente Articolo “Interventi con Supporto Telefonico”.</w:t>
      </w:r>
    </w:p>
    <w:p w:rsidR="005944C1" w:rsidRPr="00CA772A" w:rsidRDefault="005944C1" w:rsidP="002123CF">
      <w:pPr>
        <w:pStyle w:val="ProductList-Body"/>
        <w:spacing w:before="120" w:after="120"/>
      </w:pPr>
      <w:r>
        <w:rPr>
          <w:rFonts w:ascii="Segoe UI" w:hAnsi="Segoe UI"/>
          <w:color w:val="58595B" w:themeColor="text1"/>
          <w:szCs w:val="18"/>
        </w:rPr>
        <w:t>Gli interventi avviati tramite Telefono verranno computati ai fini del saldo degli interventi telefonici disponibili al momento della risoluzione del problema.</w:t>
      </w:r>
      <w:r w:rsidR="00F659C4">
        <w:rPr>
          <w:rFonts w:ascii="Segoe UI" w:hAnsi="Segoe UI"/>
          <w:color w:val="58595B" w:themeColor="text1"/>
          <w:szCs w:val="18"/>
        </w:rPr>
        <w:t xml:space="preserve"> </w:t>
      </w:r>
      <w:r>
        <w:rPr>
          <w:rFonts w:ascii="Segoe UI" w:hAnsi="Segoe UI"/>
          <w:color w:val="58595B" w:themeColor="text1"/>
          <w:szCs w:val="18"/>
        </w:rPr>
        <w:t>Gli interventi avviati via Web sono effettuati in base alle necessità e gestiti attraverso il Web, la posta elettronica e altri mezzi elettronici.</w:t>
      </w:r>
      <w:r w:rsidR="00F659C4">
        <w:rPr>
          <w:rFonts w:ascii="Segoe UI" w:hAnsi="Segoe UI"/>
          <w:color w:val="58595B" w:themeColor="text1"/>
          <w:szCs w:val="18"/>
        </w:rPr>
        <w:t xml:space="preserve"> </w:t>
      </w:r>
      <w:r>
        <w:rPr>
          <w:rFonts w:ascii="Segoe UI" w:hAnsi="Segoe UI"/>
          <w:color w:val="58595B" w:themeColor="text1"/>
          <w:szCs w:val="18"/>
        </w:rPr>
        <w:t>Gli interventi avviati tramite il Web e successivamente convertiti in interventi telefonici dalla società verranno computati ai fini del saldo degli interventi telefonici disponibili al momento della risoluzione del problema.</w:t>
      </w:r>
      <w:r w:rsidR="00F659C4">
        <w:rPr>
          <w:rFonts w:ascii="Segoe UI" w:hAnsi="Segoe UI"/>
          <w:color w:val="58595B" w:themeColor="text1"/>
          <w:szCs w:val="18"/>
        </w:rPr>
        <w:t xml:space="preserve"> </w:t>
      </w:r>
      <w:r>
        <w:rPr>
          <w:rFonts w:ascii="Segoe UI" w:hAnsi="Segoe UI"/>
          <w:color w:val="58595B" w:themeColor="text1"/>
          <w:szCs w:val="18"/>
        </w:rPr>
        <w:t>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r w:rsidR="00F659C4">
        <w:rPr>
          <w:rFonts w:ascii="Segoe UI" w:hAnsi="Segoe UI"/>
          <w:color w:val="58595B" w:themeColor="text1"/>
          <w:szCs w:val="18"/>
        </w:rPr>
        <w:t xml:space="preserve"> </w:t>
      </w:r>
    </w:p>
    <w:p w:rsidR="005944C1" w:rsidRPr="00CA772A" w:rsidRDefault="005944C1" w:rsidP="002123CF">
      <w:pPr>
        <w:pStyle w:val="ProductList-Body"/>
      </w:pPr>
      <w:r>
        <w:rPr>
          <w:rFonts w:ascii="Segoe UI" w:hAnsi="Segoe UI"/>
          <w:color w:val="58595B" w:themeColor="text1"/>
          <w:szCs w:val="18"/>
        </w:rPr>
        <w:t>Per il Supporto Web relativo agli interventi riguardanti sia il software server che le relative CAL è necessario disporre della copertura SA. Per le copie concesse in licenza del software server che rientrano nella copertura SA, la società potrà sottoporre esclusivamente richieste di Supporto per la Risoluzione dei Problemi basate sul Web. Gli interventi con Supporto Web non sono trasferibili tra licenze.</w:t>
      </w:r>
      <w:r w:rsidR="00F659C4">
        <w:rPr>
          <w:rFonts w:ascii="Segoe UI" w:hAnsi="Segoe UI"/>
          <w:color w:val="58595B" w:themeColor="text1"/>
          <w:szCs w:val="18"/>
        </w:rPr>
        <w:t xml:space="preserve"> </w:t>
      </w:r>
      <w:r>
        <w:rPr>
          <w:rFonts w:ascii="Segoe UI" w:hAnsi="Segoe UI"/>
          <w:color w:val="58595B" w:themeColor="text1"/>
          <w:szCs w:val="18"/>
        </w:rPr>
        <w:t>Le società potranno consultare i Diritti di Utilizzo del Prodotto per ulteriori informazioni sulla cessione o la riassegnazione delle licenze ai server fisici.</w:t>
      </w:r>
    </w:p>
    <w:p w:rsidR="005944C1" w:rsidRPr="00CA772A" w:rsidRDefault="005944C1" w:rsidP="002123CF">
      <w:pPr>
        <w:pStyle w:val="Thirdheading"/>
      </w:pPr>
      <w:r>
        <w:rPr>
          <w:b/>
        </w:rPr>
        <w:t>Contatti di Supporto</w:t>
      </w:r>
    </w:p>
    <w:p w:rsidR="005944C1" w:rsidRPr="00CA772A" w:rsidRDefault="005944C1" w:rsidP="002123CF">
      <w:pPr>
        <w:spacing w:line="240" w:lineRule="auto"/>
      </w:pPr>
      <w:r>
        <w:rPr>
          <w:rFonts w:cs="Tahoma"/>
          <w:color w:val="58595B" w:themeColor="text1"/>
          <w:szCs w:val="18"/>
        </w:rPr>
        <w:t xml:space="preserve">Il </w:t>
      </w:r>
      <w:r>
        <w:rPr>
          <w:color w:val="58595B" w:themeColor="text1"/>
          <w:szCs w:val="18"/>
        </w:rPr>
        <w:t>numero</w:t>
      </w:r>
      <w:r>
        <w:rPr>
          <w:rFonts w:cs="Tahoma"/>
          <w:color w:val="58595B" w:themeColor="text1"/>
          <w:szCs w:val="18"/>
        </w:rPr>
        <w:t xml:space="preserve"> di contatti di supporto consentiti dall</w:t>
      </w:r>
      <w:r w:rsidR="00D1524D">
        <w:rPr>
          <w:rFonts w:cs="Tahoma"/>
          <w:color w:val="58595B" w:themeColor="text1"/>
          <w:szCs w:val="18"/>
        </w:rPr>
        <w:t>’</w:t>
      </w:r>
      <w:r>
        <w:rPr>
          <w:rFonts w:cs="Tahoma"/>
          <w:color w:val="58595B" w:themeColor="text1"/>
          <w:szCs w:val="18"/>
        </w:rPr>
        <w:t>Account per gli Acquisti è indicato di seguito.</w:t>
      </w:r>
      <w:r w:rsidR="00F659C4">
        <w:rPr>
          <w:rFonts w:cs="Tahoma"/>
          <w:color w:val="58595B" w:themeColor="text1"/>
          <w:szCs w:val="18"/>
        </w:rPr>
        <w:t xml:space="preserve"> </w:t>
      </w:r>
      <w:r>
        <w:rPr>
          <w:rFonts w:cs="Tahoma"/>
          <w:color w:val="58595B" w:themeColor="text1"/>
          <w:szCs w:val="18"/>
        </w:rPr>
        <w:t>I contatti dovranno essere persone designate, tra cui anche soggetti esterni all</w:t>
      </w:r>
      <w:r w:rsidR="00D1524D">
        <w:rPr>
          <w:rFonts w:cs="Tahoma"/>
          <w:color w:val="58595B" w:themeColor="text1"/>
          <w:szCs w:val="18"/>
        </w:rPr>
        <w:t>’</w:t>
      </w:r>
      <w:r>
        <w:rPr>
          <w:rFonts w:cs="Tahoma"/>
          <w:color w:val="58595B" w:themeColor="text1"/>
          <w:szCs w:val="18"/>
        </w:rPr>
        <w:t>organizzazione della società.</w:t>
      </w:r>
      <w:r w:rsidR="00F659C4">
        <w:rPr>
          <w:rFonts w:cs="Tahoma"/>
          <w:color w:val="58595B" w:themeColor="text1"/>
          <w:szCs w:val="18"/>
        </w:rPr>
        <w:t xml:space="preserve"> </w:t>
      </w:r>
      <w:r>
        <w:rPr>
          <w:rFonts w:cs="Tahoma"/>
          <w:color w:val="58595B" w:themeColor="text1"/>
          <w:szCs w:val="18"/>
        </w:rPr>
        <w:t>Tuttavia, non sarà possibile indicare tra i contatti il nome di un</w:t>
      </w:r>
      <w:r w:rsidR="00D1524D">
        <w:rPr>
          <w:rFonts w:cs="Tahoma"/>
          <w:color w:val="58595B" w:themeColor="text1"/>
          <w:szCs w:val="18"/>
        </w:rPr>
        <w:t>’</w:t>
      </w:r>
      <w:r>
        <w:rPr>
          <w:rFonts w:cs="Tahoma"/>
          <w:color w:val="58595B" w:themeColor="text1"/>
          <w:szCs w:val="18"/>
        </w:rPr>
        <w:t>organizzazione, di un reparto o di un gruppo.</w:t>
      </w:r>
    </w:p>
    <w:p w:rsidR="005944C1" w:rsidRPr="00CA772A" w:rsidRDefault="005944C1" w:rsidP="002123CF">
      <w:pPr>
        <w:spacing w:line="240" w:lineRule="auto"/>
      </w:pPr>
    </w:p>
    <w:tbl>
      <w:tblPr>
        <w:tblW w:w="711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970"/>
      </w:tblGrid>
      <w:tr w:rsidR="005944C1" w:rsidRPr="005B13F2" w:rsidTr="00C93F91">
        <w:trPr>
          <w:trHeight w:val="178"/>
          <w:tblHeader/>
        </w:trPr>
        <w:tc>
          <w:tcPr>
            <w:tcW w:w="4140" w:type="dxa"/>
            <w:shd w:val="clear" w:color="auto" w:fill="8064A2"/>
            <w:vAlign w:val="center"/>
          </w:tcPr>
          <w:p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Vantaggi</w:t>
            </w:r>
          </w:p>
        </w:tc>
        <w:tc>
          <w:tcPr>
            <w:tcW w:w="2970" w:type="dxa"/>
            <w:shd w:val="clear" w:color="auto" w:fill="8064A2"/>
            <w:vAlign w:val="center"/>
          </w:tcPr>
          <w:p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In base all</w:t>
            </w:r>
            <w:r w:rsidR="00D1524D">
              <w:rPr>
                <w:rFonts w:ascii="Segoe UI" w:hAnsi="Segoe UI"/>
                <w:color w:val="FFFFFF" w:themeColor="background1"/>
                <w:szCs w:val="18"/>
              </w:rPr>
              <w:t>’</w:t>
            </w:r>
            <w:r>
              <w:rPr>
                <w:rFonts w:ascii="Segoe UI" w:hAnsi="Segoe UI"/>
                <w:color w:val="FFFFFF" w:themeColor="background1"/>
                <w:szCs w:val="18"/>
              </w:rPr>
              <w:t>Account per gli Acquisti</w:t>
            </w:r>
          </w:p>
        </w:tc>
      </w:tr>
      <w:tr w:rsidR="005944C1" w:rsidRPr="005B13F2" w:rsidTr="00C93F91">
        <w:trPr>
          <w:trHeight w:val="236"/>
        </w:trPr>
        <w:tc>
          <w:tcPr>
            <w:tcW w:w="414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 di Contatti di Supporto Telefonico per la Risoluzione dei Problemi</w:t>
            </w:r>
          </w:p>
        </w:tc>
        <w:tc>
          <w:tcPr>
            <w:tcW w:w="297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In Base alle Necessità</w:t>
            </w:r>
          </w:p>
        </w:tc>
      </w:tr>
      <w:tr w:rsidR="005944C1" w:rsidRPr="005B13F2" w:rsidTr="00C93F91">
        <w:trPr>
          <w:trHeight w:val="236"/>
        </w:trPr>
        <w:tc>
          <w:tcPr>
            <w:tcW w:w="414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 di Contatti Autorizzati per il Supporto Web</w:t>
            </w:r>
          </w:p>
        </w:tc>
        <w:tc>
          <w:tcPr>
            <w:tcW w:w="297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rsidR="005944C1" w:rsidRPr="00CA772A" w:rsidRDefault="005944C1" w:rsidP="005944C1">
      <w:pPr>
        <w:pStyle w:val="Thirdheading"/>
      </w:pPr>
      <w:bookmarkStart w:id="38" w:name="_Toc240899166"/>
      <w:r>
        <w:rPr>
          <w:b/>
        </w:rPr>
        <w:t>Livello di Servizio per le Società con Copertura Software Assurance</w:t>
      </w:r>
      <w:bookmarkEnd w:id="38"/>
    </w:p>
    <w:p w:rsidR="005944C1" w:rsidRPr="00CA772A" w:rsidRDefault="005944C1" w:rsidP="002123CF">
      <w:pPr>
        <w:pStyle w:val="ProductList-Body"/>
      </w:pPr>
      <w:r>
        <w:rPr>
          <w:rFonts w:ascii="Segoe UI" w:hAnsi="Segoe UI"/>
          <w:color w:val="58595B" w:themeColor="text1"/>
          <w:szCs w:val="18"/>
        </w:rPr>
        <w:t>Le richieste di supporto potranno essere formulate telefonicamente o inviate in formato elettronico dalle persone di contatto designate dalla società, ad eccezione delle richieste con livello di Gravità A e B, che dovranno essere formulate, invece, solo telefonicamente, come descritto di seguito. La società è responsabile della definizione del livello di gravità iniziale in collaborazione con Microsoft. La società può tuttavia chiedere di variare il livello di gravità in qualsiasi momento.</w:t>
      </w:r>
      <w:r w:rsidR="00F659C4">
        <w:rPr>
          <w:rFonts w:ascii="Segoe UI" w:hAnsi="Segoe UI"/>
          <w:color w:val="58595B" w:themeColor="text1"/>
          <w:szCs w:val="18"/>
        </w:rPr>
        <w:t xml:space="preserve"> </w:t>
      </w:r>
      <w:r>
        <w:rPr>
          <w:rFonts w:ascii="Segoe UI" w:hAnsi="Segoe UI"/>
          <w:color w:val="58595B" w:themeColor="text1"/>
          <w:szCs w:val="18"/>
        </w:rPr>
        <w:t>I tempi di risposta previsti in relazione al livello gravità e alle responsabilità della società vengono definiti nella tabella sottostante:</w:t>
      </w:r>
    </w:p>
    <w:p w:rsidR="005944C1" w:rsidRPr="00CA772A" w:rsidRDefault="005944C1" w:rsidP="005944C1">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73"/>
        <w:gridCol w:w="2587"/>
        <w:gridCol w:w="3690"/>
        <w:gridCol w:w="2880"/>
      </w:tblGrid>
      <w:tr w:rsidR="00BC7B19" w:rsidRPr="00717EC0" w:rsidTr="004E7AAE">
        <w:trPr>
          <w:trHeight w:val="160"/>
          <w:tblHeader/>
        </w:trPr>
        <w:tc>
          <w:tcPr>
            <w:tcW w:w="1373"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Gravità</w:t>
            </w:r>
          </w:p>
        </w:tc>
        <w:tc>
          <w:tcPr>
            <w:tcW w:w="2587"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Situazione</w:t>
            </w:r>
          </w:p>
        </w:tc>
        <w:tc>
          <w:tcPr>
            <w:tcW w:w="36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Risposta Prevista di Microsoft</w:t>
            </w:r>
          </w:p>
        </w:tc>
        <w:tc>
          <w:tcPr>
            <w:tcW w:w="2880" w:type="dxa"/>
            <w:shd w:val="clear" w:color="auto" w:fill="8064A2" w:themeFill="accent4"/>
            <w:tcMar>
              <w:top w:w="0" w:type="dxa"/>
              <w:left w:w="108" w:type="dxa"/>
              <w:bottom w:w="0" w:type="dxa"/>
              <w:right w:w="108" w:type="dxa"/>
            </w:tcMar>
            <w:vAlign w:val="center"/>
          </w:tcPr>
          <w:p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Risposta prevista della Società</w:t>
            </w:r>
          </w:p>
        </w:tc>
      </w:tr>
      <w:tr w:rsidR="005944C1" w:rsidRPr="00717EC0" w:rsidTr="004E7AAE">
        <w:tc>
          <w:tcPr>
            <w:tcW w:w="137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Formulazione telefonica </w:t>
            </w:r>
          </w:p>
        </w:tc>
        <w:tc>
          <w:tcPr>
            <w:tcW w:w="2587"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Impatto commerciale critico: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perdita o degradazione significativa dei servizi dell</w:t>
            </w:r>
            <w:r w:rsidR="00D1524D">
              <w:rPr>
                <w:rFonts w:ascii="Segoe UI" w:hAnsi="Segoe UI"/>
                <w:color w:val="58595B" w:themeColor="text1"/>
                <w:szCs w:val="18"/>
              </w:rPr>
              <w:t>’</w:t>
            </w:r>
            <w:r>
              <w:rPr>
                <w:rFonts w:ascii="Segoe UI" w:hAnsi="Segoe UI"/>
                <w:color w:val="58595B" w:themeColor="text1"/>
                <w:szCs w:val="18"/>
              </w:rPr>
              <w:t>azienda</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Risposta alla prima chiamata entro 2 ore lavorative, in base all</w:t>
            </w:r>
            <w:r w:rsidR="00D1524D">
              <w:rPr>
                <w:rFonts w:ascii="Segoe UI" w:hAnsi="Segoe UI"/>
                <w:color w:val="58595B" w:themeColor="text1"/>
                <w:szCs w:val="18"/>
              </w:rPr>
              <w:t>’</w:t>
            </w:r>
            <w:r>
              <w:rPr>
                <w:rFonts w:ascii="Segoe UI" w:hAnsi="Segoe UI"/>
                <w:color w:val="58595B" w:themeColor="text1"/>
                <w:szCs w:val="18"/>
              </w:rPr>
              <w:t xml:space="preserve">offerta di supporto </w:t>
            </w:r>
          </w:p>
          <w:p w:rsidR="005944C1" w:rsidRPr="00CA772A" w:rsidRDefault="005944C1" w:rsidP="00E16B45">
            <w:pPr>
              <w:pStyle w:val="ProductList-Body"/>
            </w:pPr>
            <w:r>
              <w:rPr>
                <w:rFonts w:ascii="Segoe UI" w:hAnsi="Segoe UI"/>
                <w:color w:val="58595B" w:themeColor="text1"/>
                <w:szCs w:val="18"/>
              </w:rPr>
              <w:t>Risorse Microsoft in loco, come richiesto.</w:t>
            </w:r>
          </w:p>
          <w:p w:rsidR="005944C1" w:rsidRPr="00CA772A" w:rsidRDefault="005944C1" w:rsidP="00E16B45">
            <w:pPr>
              <w:pStyle w:val="ProductList-Body"/>
            </w:pPr>
            <w:r>
              <w:rPr>
                <w:rFonts w:ascii="Segoe UI" w:hAnsi="Segoe UI"/>
                <w:color w:val="58595B" w:themeColor="text1"/>
                <w:szCs w:val="18"/>
              </w:rPr>
              <w:t>Impegno continuo 24x7</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Comunicazione del Senior Management di Microsoft, in base all</w:t>
            </w:r>
            <w:r w:rsidR="00D1524D">
              <w:rPr>
                <w:rFonts w:ascii="Segoe UI" w:hAnsi="Segoe UI"/>
                <w:color w:val="58595B" w:themeColor="text1"/>
                <w:szCs w:val="18"/>
              </w:rPr>
              <w:t>’</w:t>
            </w:r>
            <w:r>
              <w:rPr>
                <w:rFonts w:ascii="Segoe UI" w:hAnsi="Segoe UI"/>
                <w:color w:val="58595B" w:themeColor="text1"/>
                <w:szCs w:val="18"/>
              </w:rPr>
              <w:t>offerta di supporto</w:t>
            </w: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Allocazione delle risorse appropriate per sostenere l</w:t>
            </w:r>
            <w:r w:rsidR="00D1524D">
              <w:rPr>
                <w:rFonts w:ascii="Segoe UI" w:hAnsi="Segoe UI"/>
                <w:color w:val="58595B" w:themeColor="text1"/>
                <w:szCs w:val="18"/>
              </w:rPr>
              <w:t>’</w:t>
            </w:r>
            <w:r>
              <w:rPr>
                <w:rFonts w:ascii="Segoe UI" w:hAnsi="Segoe UI"/>
                <w:color w:val="58595B" w:themeColor="text1"/>
                <w:szCs w:val="18"/>
              </w:rPr>
              <w:t>impegno continuo 24x7</w:t>
            </w:r>
            <w:r>
              <w:rPr>
                <w:rFonts w:ascii="Segoe UI" w:hAnsi="Segoe UI"/>
                <w:color w:val="58595B" w:themeColor="text1"/>
                <w:szCs w:val="18"/>
                <w:vertAlign w:val="superscript"/>
              </w:rPr>
              <w:t>2</w:t>
            </w:r>
          </w:p>
          <w:p w:rsidR="005944C1" w:rsidRPr="00CA772A" w:rsidRDefault="005944C1" w:rsidP="00E16B45">
            <w:pPr>
              <w:pStyle w:val="ProductList-Body"/>
            </w:pPr>
            <w:r>
              <w:rPr>
                <w:rFonts w:ascii="Segoe UI" w:hAnsi="Segoe UI"/>
                <w:color w:val="58595B" w:themeColor="text1"/>
                <w:szCs w:val="18"/>
              </w:rPr>
              <w:t>Accesso e risposte rapide dall</w:t>
            </w:r>
            <w:r w:rsidR="00D1524D">
              <w:rPr>
                <w:rFonts w:ascii="Segoe UI" w:hAnsi="Segoe UI"/>
                <w:color w:val="58595B" w:themeColor="text1"/>
                <w:szCs w:val="18"/>
              </w:rPr>
              <w:t>’</w:t>
            </w:r>
            <w:r>
              <w:rPr>
                <w:rFonts w:ascii="Segoe UI" w:hAnsi="Segoe UI"/>
                <w:color w:val="58595B" w:themeColor="text1"/>
                <w:szCs w:val="18"/>
              </w:rPr>
              <w:t>autorità di controllo delle modifiche</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Comunicazione del management</w:t>
            </w:r>
          </w:p>
        </w:tc>
      </w:tr>
      <w:tr w:rsidR="005944C1" w:rsidRPr="00717EC0" w:rsidTr="004E7AAE">
        <w:tc>
          <w:tcPr>
            <w:tcW w:w="1373" w:type="dxa"/>
            <w:tcMar>
              <w:top w:w="0" w:type="dxa"/>
              <w:left w:w="108" w:type="dxa"/>
              <w:bottom w:w="0" w:type="dxa"/>
              <w:right w:w="108" w:type="dxa"/>
            </w:tcMar>
          </w:tcPr>
          <w:p w:rsidR="005944C1" w:rsidRPr="002123CF" w:rsidRDefault="005944C1" w:rsidP="00A6721D">
            <w:pPr>
              <w:pStyle w:val="ProductList-Body"/>
              <w:keepNext/>
              <w:keepLines/>
              <w:rPr>
                <w:rFonts w:ascii="Segoe UI" w:hAnsi="Segoe UI"/>
                <w:color w:val="58595B" w:themeColor="text1"/>
                <w:szCs w:val="18"/>
              </w:rPr>
            </w:pPr>
            <w:r>
              <w:rPr>
                <w:rFonts w:ascii="Segoe UI" w:hAnsi="Segoe UI"/>
                <w:color w:val="58595B" w:themeColor="text1"/>
                <w:szCs w:val="18"/>
              </w:rPr>
              <w:lastRenderedPageBreak/>
              <w:t xml:space="preserve">B. Formulazione telefonica </w:t>
            </w:r>
          </w:p>
        </w:tc>
        <w:tc>
          <w:tcPr>
            <w:tcW w:w="2587" w:type="dxa"/>
            <w:tcMar>
              <w:top w:w="0" w:type="dxa"/>
              <w:left w:w="108" w:type="dxa"/>
              <w:bottom w:w="0" w:type="dxa"/>
              <w:right w:w="108" w:type="dxa"/>
            </w:tcMar>
          </w:tcPr>
          <w:p w:rsidR="005944C1" w:rsidRPr="00CA772A" w:rsidRDefault="005944C1" w:rsidP="00A6721D">
            <w:pPr>
              <w:pStyle w:val="ProductList-Body"/>
              <w:keepNext/>
              <w:keepLines/>
            </w:pPr>
            <w:r>
              <w:rPr>
                <w:rFonts w:ascii="Segoe UI" w:hAnsi="Segoe UI"/>
                <w:color w:val="58595B" w:themeColor="text1"/>
                <w:szCs w:val="18"/>
              </w:rPr>
              <w:t xml:space="preserve">Impatto commerciale moderato: </w:t>
            </w:r>
          </w:p>
          <w:p w:rsidR="005944C1" w:rsidRPr="002123CF" w:rsidRDefault="00BC7B19" w:rsidP="00A6721D">
            <w:pPr>
              <w:pStyle w:val="ProductList-Body"/>
              <w:keepNext/>
              <w:keepLines/>
              <w:rPr>
                <w:rFonts w:ascii="Segoe UI" w:hAnsi="Segoe UI"/>
                <w:color w:val="58595B" w:themeColor="text1"/>
                <w:szCs w:val="18"/>
              </w:rPr>
            </w:pPr>
            <w:r>
              <w:rPr>
                <w:rFonts w:ascii="Segoe UI" w:hAnsi="Segoe UI"/>
                <w:color w:val="58595B" w:themeColor="text1"/>
                <w:szCs w:val="18"/>
              </w:rPr>
              <w:t>perdita o degradazione moderata dei servizi dell</w:t>
            </w:r>
            <w:r w:rsidR="00D1524D">
              <w:rPr>
                <w:rFonts w:ascii="Segoe UI" w:hAnsi="Segoe UI"/>
                <w:color w:val="58595B" w:themeColor="text1"/>
                <w:szCs w:val="18"/>
              </w:rPr>
              <w:t>’</w:t>
            </w:r>
            <w:r>
              <w:rPr>
                <w:rFonts w:ascii="Segoe UI" w:hAnsi="Segoe UI"/>
                <w:color w:val="58595B" w:themeColor="text1"/>
                <w:szCs w:val="18"/>
              </w:rPr>
              <w:t>azienda e possibilità di continuare il lavoro in modo meno efficiente.</w:t>
            </w:r>
          </w:p>
        </w:tc>
        <w:tc>
          <w:tcPr>
            <w:tcW w:w="3690" w:type="dxa"/>
            <w:tcMar>
              <w:top w:w="0" w:type="dxa"/>
              <w:left w:w="108" w:type="dxa"/>
              <w:bottom w:w="0" w:type="dxa"/>
              <w:right w:w="108" w:type="dxa"/>
            </w:tcMar>
          </w:tcPr>
          <w:p w:rsidR="005944C1" w:rsidRPr="00CA772A" w:rsidRDefault="005944C1" w:rsidP="00A6721D">
            <w:pPr>
              <w:pStyle w:val="ProductList-Body"/>
              <w:keepNext/>
              <w:keepLines/>
            </w:pPr>
            <w:r>
              <w:rPr>
                <w:rFonts w:ascii="Segoe UI" w:hAnsi="Segoe UI"/>
                <w:color w:val="58595B" w:themeColor="text1"/>
                <w:szCs w:val="18"/>
              </w:rPr>
              <w:t>Risposta alla prima chiamata entro 4 ore lavorative, in base all</w:t>
            </w:r>
            <w:r w:rsidR="00D1524D">
              <w:rPr>
                <w:rFonts w:ascii="Segoe UI" w:hAnsi="Segoe UI"/>
                <w:color w:val="58595B" w:themeColor="text1"/>
                <w:szCs w:val="18"/>
              </w:rPr>
              <w:t>’</w:t>
            </w:r>
            <w:r>
              <w:rPr>
                <w:rFonts w:ascii="Segoe UI" w:hAnsi="Segoe UI"/>
                <w:color w:val="58595B" w:themeColor="text1"/>
                <w:szCs w:val="18"/>
              </w:rPr>
              <w:t xml:space="preserve">offerta di supporto </w:t>
            </w:r>
          </w:p>
          <w:p w:rsidR="005944C1" w:rsidRPr="00CA772A" w:rsidRDefault="005944C1" w:rsidP="00A6721D">
            <w:pPr>
              <w:pStyle w:val="ProductList-Body"/>
              <w:keepNext/>
              <w:keepLines/>
            </w:pPr>
            <w:r>
              <w:rPr>
                <w:rFonts w:ascii="Segoe UI" w:hAnsi="Segoe UI"/>
                <w:color w:val="58595B" w:themeColor="text1"/>
                <w:szCs w:val="18"/>
              </w:rPr>
              <w:t>Impegno solo durante le Ore Lavorative</w:t>
            </w:r>
            <w:r>
              <w:rPr>
                <w:rFonts w:ascii="Segoe UI" w:hAnsi="Segoe UI"/>
                <w:color w:val="58595B" w:themeColor="text1"/>
                <w:szCs w:val="18"/>
                <w:vertAlign w:val="superscript"/>
              </w:rPr>
              <w:t>1</w:t>
            </w:r>
          </w:p>
          <w:p w:rsidR="005944C1" w:rsidRPr="002123CF" w:rsidRDefault="005944C1" w:rsidP="00A6721D">
            <w:pPr>
              <w:pStyle w:val="ProductList-Body"/>
              <w:keepNext/>
              <w:keepLines/>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A6721D">
            <w:pPr>
              <w:pStyle w:val="ProductList-Body"/>
              <w:keepNext/>
              <w:keepLines/>
            </w:pPr>
            <w:r>
              <w:rPr>
                <w:rFonts w:ascii="Segoe UI" w:hAnsi="Segoe UI"/>
                <w:color w:val="58595B" w:themeColor="text1"/>
                <w:szCs w:val="18"/>
              </w:rPr>
              <w:t>Allocazione di risorse appropriate per sostenere l</w:t>
            </w:r>
            <w:r w:rsidR="00D1524D">
              <w:rPr>
                <w:rFonts w:ascii="Segoe UI" w:hAnsi="Segoe UI"/>
                <w:color w:val="58595B" w:themeColor="text1"/>
                <w:szCs w:val="18"/>
              </w:rPr>
              <w:t>’</w:t>
            </w:r>
            <w:r>
              <w:rPr>
                <w:rFonts w:ascii="Segoe UI" w:hAnsi="Segoe UI"/>
                <w:color w:val="58595B" w:themeColor="text1"/>
                <w:szCs w:val="18"/>
              </w:rPr>
              <w:t>impegno continuo durante le Ore Lavorative</w:t>
            </w:r>
            <w:r>
              <w:rPr>
                <w:rFonts w:ascii="Segoe UI" w:hAnsi="Segoe UI"/>
                <w:color w:val="58595B" w:themeColor="text1"/>
                <w:szCs w:val="18"/>
                <w:vertAlign w:val="superscript"/>
              </w:rPr>
              <w:t>1</w:t>
            </w:r>
          </w:p>
          <w:p w:rsidR="005944C1" w:rsidRPr="002123CF" w:rsidRDefault="005944C1" w:rsidP="00A6721D">
            <w:pPr>
              <w:pStyle w:val="ProductList-Body"/>
              <w:keepNext/>
              <w:keepLines/>
              <w:rPr>
                <w:rFonts w:ascii="Segoe UI" w:hAnsi="Segoe UI"/>
                <w:color w:val="58595B" w:themeColor="text1"/>
                <w:szCs w:val="18"/>
              </w:rPr>
            </w:pPr>
            <w:r>
              <w:rPr>
                <w:rFonts w:ascii="Segoe UI" w:hAnsi="Segoe UI"/>
                <w:color w:val="58595B" w:themeColor="text1"/>
                <w:szCs w:val="18"/>
              </w:rPr>
              <w:t>Accesso e risposta dall</w:t>
            </w:r>
            <w:r w:rsidR="00D1524D">
              <w:rPr>
                <w:rFonts w:ascii="Segoe UI" w:hAnsi="Segoe UI"/>
                <w:color w:val="58595B" w:themeColor="text1"/>
                <w:szCs w:val="18"/>
              </w:rPr>
              <w:t>’</w:t>
            </w:r>
            <w:r>
              <w:rPr>
                <w:rFonts w:ascii="Segoe UI" w:hAnsi="Segoe UI"/>
                <w:color w:val="58595B" w:themeColor="text1"/>
                <w:szCs w:val="18"/>
              </w:rPr>
              <w:t>autorità preposta al controllo delle modifiche entro 4 Ore Lavorative</w:t>
            </w:r>
            <w:r>
              <w:rPr>
                <w:rFonts w:ascii="Segoe UI" w:hAnsi="Segoe UI"/>
                <w:color w:val="58595B" w:themeColor="text1"/>
                <w:szCs w:val="18"/>
                <w:vertAlign w:val="superscript"/>
              </w:rPr>
              <w:t>1</w:t>
            </w:r>
          </w:p>
        </w:tc>
      </w:tr>
      <w:tr w:rsidR="005944C1" w:rsidRPr="00717EC0" w:rsidTr="004E7AAE">
        <w:tc>
          <w:tcPr>
            <w:tcW w:w="137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Formulazione telefonica o invio tramite Web</w:t>
            </w:r>
          </w:p>
        </w:tc>
        <w:tc>
          <w:tcPr>
            <w:tcW w:w="2587"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Impatto commerciale minimo: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funzionamento dell</w:t>
            </w:r>
            <w:r w:rsidR="00D1524D">
              <w:rPr>
                <w:rFonts w:ascii="Segoe UI" w:hAnsi="Segoe UI"/>
                <w:color w:val="58595B" w:themeColor="text1"/>
                <w:szCs w:val="18"/>
              </w:rPr>
              <w:t>’</w:t>
            </w:r>
            <w:r>
              <w:rPr>
                <w:rFonts w:ascii="Segoe UI" w:hAnsi="Segoe UI"/>
                <w:color w:val="58595B" w:themeColor="text1"/>
                <w:szCs w:val="18"/>
              </w:rPr>
              <w:t>azienda sostanzialmente nella norma, in alcuni casi con qualche minimo impedimento dei servizi.</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Risposta alla prima chiamata entro 1 giorno lavorativo, in base all</w:t>
            </w:r>
            <w:r w:rsidR="00D1524D">
              <w:rPr>
                <w:rFonts w:ascii="Segoe UI" w:hAnsi="Segoe UI"/>
                <w:color w:val="58595B" w:themeColor="text1"/>
                <w:szCs w:val="18"/>
              </w:rPr>
              <w:t>’</w:t>
            </w:r>
            <w:r>
              <w:rPr>
                <w:rFonts w:ascii="Segoe UI" w:hAnsi="Segoe UI"/>
                <w:color w:val="58595B" w:themeColor="text1"/>
                <w:szCs w:val="18"/>
              </w:rPr>
              <w:t>offerta di supporto</w:t>
            </w:r>
          </w:p>
          <w:p w:rsidR="005944C1" w:rsidRPr="00CA772A" w:rsidRDefault="005944C1" w:rsidP="00E16B45">
            <w:pPr>
              <w:pStyle w:val="ProductList-Body"/>
            </w:pPr>
            <w:r>
              <w:rPr>
                <w:rFonts w:ascii="Segoe UI" w:hAnsi="Segoe UI"/>
                <w:color w:val="58595B" w:themeColor="text1"/>
                <w:szCs w:val="18"/>
              </w:rPr>
              <w:t>Impegno solo durante le Ore Lavorative</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Informazioni accurate da parte di chi segue il caso</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Risposta entro 1 giorno lavorativo.</w:t>
            </w:r>
          </w:p>
        </w:tc>
      </w:tr>
    </w:tbl>
    <w:p w:rsidR="005944C1" w:rsidRPr="00CA772A" w:rsidRDefault="005944C1" w:rsidP="005944C1">
      <w:pPr>
        <w:pStyle w:val="ProductList-Body"/>
        <w:tabs>
          <w:tab w:val="clear" w:pos="158"/>
          <w:tab w:val="left" w:pos="180"/>
        </w:tabs>
      </w:pPr>
      <w:r w:rsidRPr="00B55AD1">
        <w:rPr>
          <w:rFonts w:ascii="Segoe UI" w:hAnsi="Segoe UI"/>
          <w:color w:val="58595B" w:themeColor="text1"/>
          <w:szCs w:val="18"/>
          <w:vertAlign w:val="superscript"/>
        </w:rPr>
        <w:t>1</w:t>
      </w:r>
      <w:r>
        <w:rPr>
          <w:rFonts w:ascii="Segoe UI" w:hAnsi="Segoe UI"/>
          <w:color w:val="58595B" w:themeColor="text1"/>
          <w:szCs w:val="18"/>
        </w:rPr>
        <w:t xml:space="preserve"> La società dovrà contattare il rappresentante Microsoft per informazioni sulle ore lavorative locali.</w:t>
      </w:r>
    </w:p>
    <w:p w:rsidR="005944C1" w:rsidRPr="00CA772A" w:rsidRDefault="005944C1" w:rsidP="005944C1">
      <w:pPr>
        <w:pStyle w:val="ProductList-Body"/>
        <w:tabs>
          <w:tab w:val="clear" w:pos="158"/>
          <w:tab w:val="left" w:pos="180"/>
        </w:tabs>
      </w:pPr>
      <w:r w:rsidRPr="00B55AD1">
        <w:rPr>
          <w:rFonts w:ascii="Segoe UI" w:hAnsi="Segoe UI"/>
          <w:color w:val="58595B" w:themeColor="text1"/>
          <w:szCs w:val="18"/>
          <w:vertAlign w:val="superscript"/>
        </w:rPr>
        <w:t>2</w:t>
      </w:r>
      <w:r>
        <w:rPr>
          <w:rFonts w:ascii="Segoe UI" w:hAnsi="Segoe UI"/>
          <w:color w:val="58595B" w:themeColor="text1"/>
          <w:szCs w:val="18"/>
        </w:rPr>
        <w:t xml:space="preserve"> È possibile che Microsoft riduca il livello di gravità qualora la società non sia in grado di fornire risorse o di intervenire in modo adeguato a supporto dell</w:t>
      </w:r>
      <w:r w:rsidR="00D1524D">
        <w:rPr>
          <w:rFonts w:ascii="Segoe UI" w:hAnsi="Segoe UI"/>
          <w:color w:val="58595B" w:themeColor="text1"/>
          <w:szCs w:val="18"/>
        </w:rPr>
        <w:t>’</w:t>
      </w:r>
      <w:r>
        <w:rPr>
          <w:rFonts w:ascii="Segoe UI" w:hAnsi="Segoe UI"/>
          <w:color w:val="58595B" w:themeColor="text1"/>
          <w:szCs w:val="18"/>
        </w:rPr>
        <w:t>impegno di Microsoft volto a risolvere il problema.</w:t>
      </w:r>
    </w:p>
    <w:p w:rsidR="005944C1" w:rsidRPr="00CA772A" w:rsidRDefault="00BC7B19" w:rsidP="002123CF">
      <w:pPr>
        <w:pStyle w:val="ProductList-Body"/>
        <w:spacing w:before="120" w:after="120"/>
      </w:pPr>
      <w:r>
        <w:rPr>
          <w:rFonts w:ascii="Segoe UI" w:hAnsi="Segoe UI"/>
          <w:color w:val="58595B" w:themeColor="text1"/>
          <w:szCs w:val="18"/>
        </w:rPr>
        <w:t>È possibile che alla società sia chiesto di svolgere attività di individuazione e risoluzione dei problemi in base a quanto richiesto da Microsoft, quali l</w:t>
      </w:r>
      <w:r w:rsidR="00D1524D">
        <w:rPr>
          <w:rFonts w:ascii="Segoe UI" w:hAnsi="Segoe UI"/>
          <w:color w:val="58595B" w:themeColor="text1"/>
          <w:szCs w:val="18"/>
        </w:rPr>
        <w:t>’</w:t>
      </w:r>
      <w:r>
        <w:rPr>
          <w:rFonts w:ascii="Segoe UI" w:hAnsi="Segoe UI"/>
          <w:color w:val="58595B" w:themeColor="text1"/>
          <w:szCs w:val="18"/>
        </w:rPr>
        <w:t>esecuzione di procedure di network trace, l</w:t>
      </w:r>
      <w:r w:rsidR="00D1524D">
        <w:rPr>
          <w:rFonts w:ascii="Segoe UI" w:hAnsi="Segoe UI"/>
          <w:color w:val="58595B" w:themeColor="text1"/>
          <w:szCs w:val="18"/>
        </w:rPr>
        <w:t>’</w:t>
      </w:r>
      <w:r>
        <w:rPr>
          <w:rFonts w:ascii="Segoe UI" w:hAnsi="Segoe UI"/>
          <w:color w:val="58595B" w:themeColor="text1"/>
          <w:szCs w:val="18"/>
        </w:rPr>
        <w:t>acquisizione di messaggi di errore, la raccolta di informazioni sulla configurazione, la modifica della configurazione dei prodotti, l</w:t>
      </w:r>
      <w:r w:rsidR="00D1524D">
        <w:rPr>
          <w:rFonts w:ascii="Segoe UI" w:hAnsi="Segoe UI"/>
          <w:color w:val="58595B" w:themeColor="text1"/>
          <w:szCs w:val="18"/>
        </w:rPr>
        <w:t>’</w:t>
      </w:r>
      <w:r>
        <w:rPr>
          <w:rFonts w:ascii="Segoe UI" w:hAnsi="Segoe UI"/>
          <w:color w:val="58595B" w:themeColor="text1"/>
          <w:szCs w:val="18"/>
        </w:rPr>
        <w:t xml:space="preserve">installazione di nuove versioni del software o nuovi componenti oppure la modifica dei processi. </w:t>
      </w:r>
    </w:p>
    <w:p w:rsidR="005944C1" w:rsidRPr="00CA772A" w:rsidRDefault="00BC7B19" w:rsidP="005944C1">
      <w:pPr>
        <w:pStyle w:val="ProductList-Body"/>
      </w:pPr>
      <w:r>
        <w:rPr>
          <w:rFonts w:ascii="Segoe UI" w:hAnsi="Segoe UI"/>
          <w:color w:val="58595B" w:themeColor="text1"/>
          <w:szCs w:val="18"/>
        </w:rPr>
        <w:t>La società è responsabile dell</w:t>
      </w:r>
      <w:r w:rsidR="00D1524D">
        <w:rPr>
          <w:rFonts w:ascii="Segoe UI" w:hAnsi="Segoe UI"/>
          <w:color w:val="58595B" w:themeColor="text1"/>
          <w:szCs w:val="18"/>
        </w:rPr>
        <w:t>’</w:t>
      </w:r>
      <w:r>
        <w:rPr>
          <w:rFonts w:ascii="Segoe UI" w:hAnsi="Segoe UI"/>
          <w:color w:val="58595B" w:themeColor="text1"/>
          <w:szCs w:val="18"/>
        </w:rPr>
        <w:t>implementazione delle procedure necessarie per salvaguardare l</w:t>
      </w:r>
      <w:r w:rsidR="00D1524D">
        <w:rPr>
          <w:rFonts w:ascii="Segoe UI" w:hAnsi="Segoe UI"/>
          <w:color w:val="58595B" w:themeColor="text1"/>
          <w:szCs w:val="18"/>
        </w:rPr>
        <w:t>’</w:t>
      </w:r>
      <w:r>
        <w:rPr>
          <w:rFonts w:ascii="Segoe UI" w:hAnsi="Segoe UI"/>
          <w:color w:val="58595B" w:themeColor="text1"/>
          <w:szCs w:val="18"/>
        </w:rPr>
        <w:t>integrità e la protezione del software e dei dati di sua proprietà da accessi non autorizzati, nonché del ripristino di file perduti o alterati in seguito a errori irreversibili.</w:t>
      </w:r>
    </w:p>
    <w:p w:rsidR="00816143" w:rsidRPr="00CA772A" w:rsidRDefault="005944C1" w:rsidP="005944C1">
      <w:pPr>
        <w:pStyle w:val="ProductList-Body"/>
      </w:pPr>
      <w:r>
        <w:rPr>
          <w:rFonts w:ascii="Segoe UI" w:hAnsi="Segoe UI"/>
          <w:color w:val="58595B" w:themeColor="text1"/>
          <w:szCs w:val="18"/>
        </w:rPr>
        <w:t>Questo vantaggio del supporto è legato all</w:t>
      </w:r>
      <w:r w:rsidR="00D1524D">
        <w:rPr>
          <w:rFonts w:ascii="Segoe UI" w:hAnsi="Segoe UI"/>
          <w:color w:val="58595B" w:themeColor="text1"/>
          <w:szCs w:val="18"/>
        </w:rPr>
        <w:t>’</w:t>
      </w:r>
      <w:r>
        <w:rPr>
          <w:rFonts w:ascii="Segoe UI" w:hAnsi="Segoe UI"/>
          <w:color w:val="58595B" w:themeColor="text1"/>
          <w:szCs w:val="18"/>
        </w:rPr>
        <w:t xml:space="preserve">investimento SA, non alla versione. </w:t>
      </w:r>
    </w:p>
    <w:p w:rsidR="00D658E2" w:rsidRPr="00CA772A" w:rsidRDefault="00D658E2" w:rsidP="00A6721D">
      <w:pPr>
        <w:pStyle w:val="Hdg1noborder"/>
        <w:spacing w:before="120" w:after="120"/>
        <w:rPr>
          <w:rFonts w:eastAsiaTheme="majorEastAsia"/>
        </w:rPr>
      </w:pPr>
      <w:bookmarkStart w:id="39" w:name="_New_Version_Rights_1"/>
      <w:bookmarkStart w:id="40" w:name="_Toc403380306"/>
      <w:bookmarkStart w:id="41" w:name="_Toc416105617"/>
      <w:bookmarkEnd w:id="39"/>
      <w:r>
        <w:rPr>
          <w:rFonts w:asciiTheme="majorHAnsi" w:eastAsiaTheme="majorEastAsia" w:hAnsiTheme="majorHAnsi" w:cstheme="majorBidi"/>
          <w:bCs/>
          <w:color w:val="8064A2" w:themeColor="accent4"/>
          <w:sz w:val="28"/>
          <w:szCs w:val="26"/>
        </w:rPr>
        <w:t>Vantaggi per i Prodotti Qualificanti</w:t>
      </w:r>
      <w:bookmarkEnd w:id="40"/>
      <w:bookmarkEnd w:id="41"/>
    </w:p>
    <w:p w:rsidR="00E82782" w:rsidRPr="00CA772A" w:rsidRDefault="00E82782" w:rsidP="009A7988">
      <w:pPr>
        <w:pStyle w:val="Heading2"/>
      </w:pPr>
      <w:bookmarkStart w:id="42" w:name="_Diritti_su_Versioni"/>
      <w:bookmarkStart w:id="43" w:name="_Toc403380307"/>
      <w:bookmarkStart w:id="44" w:name="_Toc416105618"/>
      <w:bookmarkEnd w:id="42"/>
      <w:r>
        <w:t>Diritti su Versioni Nuove</w:t>
      </w:r>
      <w:bookmarkEnd w:id="43"/>
      <w:bookmarkEnd w:id="44"/>
    </w:p>
    <w:p w:rsidR="00E82782" w:rsidRPr="00CA772A" w:rsidRDefault="00E82782" w:rsidP="00E82782">
      <w:pPr>
        <w:pStyle w:val="ProductList-Body"/>
      </w:pPr>
      <w:r>
        <w:rPr>
          <w:rFonts w:ascii="Segoe UI" w:hAnsi="Segoe UI"/>
          <w:color w:val="58595B" w:themeColor="text1"/>
          <w:szCs w:val="18"/>
        </w:rPr>
        <w:t>Diritti su Versioni Nuove, in relazione al Prodotto con licenza sottostante per il quale viene ordinata la copertura SA, indica il diritto di effettuare l</w:t>
      </w:r>
      <w:r w:rsidR="00D1524D">
        <w:rPr>
          <w:rFonts w:ascii="Segoe UI" w:hAnsi="Segoe UI"/>
          <w:color w:val="58595B" w:themeColor="text1"/>
          <w:szCs w:val="18"/>
        </w:rPr>
        <w:t>’</w:t>
      </w:r>
      <w:r>
        <w:rPr>
          <w:rFonts w:ascii="Segoe UI" w:hAnsi="Segoe UI"/>
          <w:color w:val="58595B" w:themeColor="text1"/>
          <w:szCs w:val="18"/>
        </w:rPr>
        <w:t>aggiornamento e di eseguire al posto del Prodotto con licenza sottostante l</w:t>
      </w:r>
      <w:r w:rsidR="00D1524D">
        <w:rPr>
          <w:rFonts w:ascii="Segoe UI" w:hAnsi="Segoe UI"/>
          <w:color w:val="58595B" w:themeColor="text1"/>
          <w:szCs w:val="18"/>
        </w:rPr>
        <w:t>’</w:t>
      </w:r>
      <w:r>
        <w:rPr>
          <w:rFonts w:ascii="Segoe UI" w:hAnsi="Segoe UI"/>
          <w:color w:val="58595B" w:themeColor="text1"/>
          <w:szCs w:val="18"/>
        </w:rPr>
        <w:t>ultima versione di tale Prodotto che Microsoft rende disponibile durante il periodo di copertura.</w:t>
      </w:r>
      <w:r w:rsidR="00F659C4">
        <w:rPr>
          <w:rFonts w:ascii="Segoe UI" w:hAnsi="Segoe UI"/>
          <w:color w:val="58595B" w:themeColor="text1"/>
          <w:szCs w:val="18"/>
        </w:rPr>
        <w:t xml:space="preserve"> </w:t>
      </w:r>
      <w:r>
        <w:rPr>
          <w:rFonts w:ascii="Segoe UI" w:hAnsi="Segoe UI"/>
          <w:color w:val="58595B" w:themeColor="text1"/>
          <w:szCs w:val="18"/>
        </w:rPr>
        <w:t>L</w:t>
      </w:r>
      <w:r w:rsidR="00D1524D">
        <w:rPr>
          <w:rFonts w:ascii="Segoe UI" w:hAnsi="Segoe UI"/>
          <w:color w:val="58595B" w:themeColor="text1"/>
          <w:szCs w:val="18"/>
        </w:rPr>
        <w:t>’</w:t>
      </w:r>
      <w:r>
        <w:rPr>
          <w:rFonts w:ascii="Segoe UI" w:hAnsi="Segoe UI"/>
          <w:color w:val="58595B" w:themeColor="text1"/>
          <w:szCs w:val="18"/>
        </w:rPr>
        <w:t>utilizzo della nuova versione è soggetto alle condizioni di licenza per tale versione. Quando la società acquista licenze perpetue tramite SA, può distribuire gli aggiornamenti dopo la scadenza della copertura.</w:t>
      </w:r>
    </w:p>
    <w:p w:rsidR="00E82782" w:rsidRPr="00CA772A" w:rsidRDefault="00E82782" w:rsidP="009A7988">
      <w:pPr>
        <w:pStyle w:val="Heading2"/>
      </w:pPr>
      <w:bookmarkStart w:id="45" w:name="_Office_Multi_Language_1"/>
      <w:bookmarkStart w:id="46" w:name="_Toc403380308"/>
      <w:bookmarkStart w:id="47" w:name="_Toc416105619"/>
      <w:bookmarkEnd w:id="45"/>
      <w:r>
        <w:t>Office Multi Language Pack</w:t>
      </w:r>
      <w:bookmarkEnd w:id="46"/>
      <w:bookmarkEnd w:id="47"/>
    </w:p>
    <w:p w:rsidR="00E82782" w:rsidRPr="00CA772A" w:rsidRDefault="00E82782" w:rsidP="00E82782">
      <w:pPr>
        <w:pStyle w:val="ProductList-Body"/>
      </w:pPr>
      <w:r>
        <w:rPr>
          <w:rFonts w:ascii="Segoe UI" w:hAnsi="Segoe UI"/>
          <w:color w:val="58595B" w:themeColor="text1"/>
          <w:szCs w:val="18"/>
        </w:rPr>
        <w:t>Questo vantaggio consente alla società di utilizzare l</w:t>
      </w:r>
      <w:r w:rsidR="00D1524D">
        <w:rPr>
          <w:rFonts w:ascii="Segoe UI" w:hAnsi="Segoe UI"/>
          <w:color w:val="58595B" w:themeColor="text1"/>
          <w:szCs w:val="18"/>
        </w:rPr>
        <w:t>’</w:t>
      </w:r>
      <w:r>
        <w:rPr>
          <w:rFonts w:ascii="Segoe UI" w:hAnsi="Segoe UI"/>
          <w:color w:val="58595B" w:themeColor="text1"/>
          <w:szCs w:val="18"/>
        </w:rPr>
        <w:t>ultima versione di Office Multi Language Pack con le copie del software Office System (cfr. la tabella che segue) che è autorizzata a usare ai sensi di licenze qualificanti.</w:t>
      </w:r>
      <w:r w:rsidR="00F659C4">
        <w:rPr>
          <w:rFonts w:ascii="Segoe UI" w:hAnsi="Segoe UI"/>
          <w:color w:val="58595B" w:themeColor="text1"/>
          <w:szCs w:val="18"/>
        </w:rPr>
        <w:t xml:space="preserve"> </w:t>
      </w:r>
      <w:r>
        <w:rPr>
          <w:rFonts w:ascii="Segoe UI" w:hAnsi="Segoe UI"/>
          <w:color w:val="58595B" w:themeColor="text1"/>
          <w:szCs w:val="18"/>
        </w:rPr>
        <w:t>Quando la società dispone dei diritti di utilizzo del software ai sensi di una licenza qualificante, potrà utilizzare Office Multi Language Pack con quel software.</w:t>
      </w:r>
      <w:r w:rsidR="00F659C4">
        <w:rPr>
          <w:rFonts w:ascii="Segoe UI" w:hAnsi="Segoe UI"/>
          <w:color w:val="58595B" w:themeColor="text1"/>
          <w:szCs w:val="18"/>
        </w:rPr>
        <w:t xml:space="preserve"> </w:t>
      </w:r>
      <w:r>
        <w:rPr>
          <w:rFonts w:ascii="Segoe UI" w:hAnsi="Segoe UI"/>
          <w:color w:val="58595B" w:themeColor="text1"/>
          <w:szCs w:val="18"/>
        </w:rPr>
        <w:t>Il diritto di utilizzare Office Multi Language Pack cesserà alla scadenza dei diritti concessi dalla licenza qualificante per Office System.</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E82782" w:rsidRPr="00717EC0" w:rsidTr="0088720B">
        <w:trPr>
          <w:trHeight w:val="60"/>
          <w:tblHeader/>
        </w:trPr>
        <w:tc>
          <w:tcPr>
            <w:tcW w:w="10800" w:type="dxa"/>
            <w:gridSpan w:val="3"/>
            <w:shd w:val="clear" w:color="auto" w:fill="8064A2" w:themeFill="accent4"/>
            <w:vAlign w:val="center"/>
          </w:tcPr>
          <w:p w:rsidR="00E82782" w:rsidRPr="002123CF" w:rsidRDefault="00E82782" w:rsidP="002123CF">
            <w:pPr>
              <w:pStyle w:val="ProductList-Body"/>
              <w:rPr>
                <w:rFonts w:ascii="Segoe UI" w:hAnsi="Segoe UI"/>
                <w:color w:val="58595B" w:themeColor="text1"/>
                <w:szCs w:val="18"/>
              </w:rPr>
            </w:pPr>
            <w:r>
              <w:rPr>
                <w:rFonts w:ascii="Segoe UI" w:hAnsi="Segoe UI"/>
                <w:color w:val="FFFFFF" w:themeColor="background1"/>
                <w:szCs w:val="18"/>
              </w:rPr>
              <w:t>Prodotti del Pool di Applicazioni Office System</w:t>
            </w:r>
          </w:p>
        </w:tc>
      </w:tr>
      <w:tr w:rsidR="00E82782" w:rsidRPr="00643BFF" w:rsidTr="0088720B">
        <w:trPr>
          <w:trHeight w:val="438"/>
        </w:trPr>
        <w:tc>
          <w:tcPr>
            <w:tcW w:w="3600" w:type="dxa"/>
          </w:tcPr>
          <w:p w:rsidR="00E82782" w:rsidRPr="00226F00" w:rsidRDefault="00E82782" w:rsidP="00E82782">
            <w:pPr>
              <w:pStyle w:val="ProductList-Body"/>
              <w:rPr>
                <w:lang w:val="en-US"/>
              </w:rPr>
            </w:pPr>
            <w:r w:rsidRPr="00226F00">
              <w:rPr>
                <w:rFonts w:ascii="Segoe UI" w:hAnsi="Segoe UI"/>
                <w:color w:val="58595B" w:themeColor="text1"/>
                <w:szCs w:val="18"/>
                <w:lang w:val="en-US"/>
              </w:rPr>
              <w:t>Office Standard 2013</w:t>
            </w:r>
            <w:r>
              <w:fldChar w:fldCharType="begin"/>
            </w:r>
            <w:r w:rsidRPr="00226F00">
              <w:rPr>
                <w:lang w:val="en-US"/>
              </w:rPr>
              <w:instrText>XE "Office Standard 2013"</w:instrText>
            </w:r>
            <w:r>
              <w:fldChar w:fldCharType="end"/>
            </w:r>
          </w:p>
          <w:p w:rsidR="00E82782" w:rsidRPr="00226F00" w:rsidRDefault="00E82782" w:rsidP="00E82782">
            <w:pPr>
              <w:pStyle w:val="ProductList-Body"/>
              <w:rPr>
                <w:lang w:val="en-US"/>
              </w:rPr>
            </w:pPr>
            <w:r w:rsidRPr="00226F00">
              <w:rPr>
                <w:rFonts w:ascii="Segoe UI" w:hAnsi="Segoe UI"/>
                <w:color w:val="58595B" w:themeColor="text1"/>
                <w:szCs w:val="18"/>
                <w:lang w:val="en-US"/>
              </w:rPr>
              <w:t>Office Professional Plus 2013</w:t>
            </w:r>
            <w:r>
              <w:fldChar w:fldCharType="begin"/>
            </w:r>
            <w:r w:rsidRPr="00226F00">
              <w:rPr>
                <w:lang w:val="en-US"/>
              </w:rPr>
              <w:instrText>XE "Office Professional Plus 2013"</w:instrText>
            </w:r>
            <w:r>
              <w:fldChar w:fldCharType="end"/>
            </w:r>
            <w:r w:rsidRPr="00226F00">
              <w:rPr>
                <w:rFonts w:ascii="Segoe UI" w:hAnsi="Segoe UI"/>
                <w:color w:val="58595B" w:themeColor="text1"/>
                <w:szCs w:val="18"/>
                <w:lang w:val="en-US"/>
              </w:rPr>
              <w:t xml:space="preserve"> </w:t>
            </w:r>
          </w:p>
          <w:p w:rsidR="00E82782" w:rsidRPr="00226F00" w:rsidRDefault="00E82782" w:rsidP="00E82782">
            <w:pPr>
              <w:pStyle w:val="ProductList-Body"/>
              <w:rPr>
                <w:lang w:val="en-US"/>
              </w:rPr>
            </w:pPr>
            <w:r w:rsidRPr="00226F00">
              <w:rPr>
                <w:rFonts w:ascii="Segoe UI" w:hAnsi="Segoe UI"/>
                <w:color w:val="58595B" w:themeColor="text1"/>
                <w:szCs w:val="18"/>
                <w:lang w:val="en-US"/>
              </w:rPr>
              <w:t>Project Standard 2013</w:t>
            </w:r>
            <w:r>
              <w:fldChar w:fldCharType="begin"/>
            </w:r>
            <w:r w:rsidRPr="00226F00">
              <w:rPr>
                <w:lang w:val="en-US"/>
              </w:rPr>
              <w:instrText>XE "Project Standard 2013"</w:instrText>
            </w:r>
            <w:r>
              <w:fldChar w:fldCharType="end"/>
            </w:r>
          </w:p>
          <w:p w:rsidR="00E82782" w:rsidRPr="00226F00" w:rsidRDefault="00E82782" w:rsidP="00E82782">
            <w:pPr>
              <w:pStyle w:val="ProductList-Body"/>
              <w:rPr>
                <w:lang w:val="en-US"/>
              </w:rPr>
            </w:pPr>
            <w:r w:rsidRPr="00226F00">
              <w:rPr>
                <w:rFonts w:ascii="Segoe UI" w:hAnsi="Segoe UI"/>
                <w:color w:val="58595B" w:themeColor="text1"/>
                <w:szCs w:val="18"/>
                <w:lang w:val="en-US"/>
              </w:rPr>
              <w:t>Project Professional 2013</w:t>
            </w:r>
            <w:r>
              <w:fldChar w:fldCharType="begin"/>
            </w:r>
            <w:r w:rsidRPr="00226F00">
              <w:rPr>
                <w:lang w:val="en-US"/>
              </w:rPr>
              <w:instrText>XE "Project Professional 2013"</w:instrText>
            </w:r>
            <w:r>
              <w:fldChar w:fldCharType="end"/>
            </w:r>
          </w:p>
          <w:p w:rsidR="00E82782" w:rsidRPr="00226F00" w:rsidRDefault="00E82782" w:rsidP="00E82782">
            <w:pPr>
              <w:pStyle w:val="ProductList-Body"/>
              <w:rPr>
                <w:lang w:val="en-US"/>
              </w:rPr>
            </w:pPr>
            <w:r w:rsidRPr="00226F00">
              <w:rPr>
                <w:rFonts w:ascii="Segoe UI" w:hAnsi="Segoe UI"/>
                <w:color w:val="58595B" w:themeColor="text1"/>
                <w:szCs w:val="18"/>
                <w:lang w:val="en-US"/>
              </w:rPr>
              <w:t>Visio Standard 2013</w:t>
            </w:r>
            <w:r>
              <w:fldChar w:fldCharType="begin"/>
            </w:r>
            <w:r w:rsidRPr="00226F00">
              <w:rPr>
                <w:lang w:val="en-US"/>
              </w:rPr>
              <w:instrText>XE "Visio Standard 2013"</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p>
        </w:tc>
        <w:tc>
          <w:tcPr>
            <w:tcW w:w="3600" w:type="dxa"/>
          </w:tcPr>
          <w:p w:rsidR="00E82782" w:rsidRPr="00226F00" w:rsidRDefault="00E82782" w:rsidP="00E82782">
            <w:pPr>
              <w:pStyle w:val="ProductList-Body"/>
              <w:rPr>
                <w:lang w:val="en-US"/>
              </w:rPr>
            </w:pPr>
            <w:r w:rsidRPr="00226F00">
              <w:rPr>
                <w:rFonts w:ascii="Segoe UI" w:hAnsi="Segoe UI"/>
                <w:color w:val="58595B" w:themeColor="text1"/>
                <w:szCs w:val="18"/>
                <w:lang w:val="en-US"/>
              </w:rPr>
              <w:t>Access 2013</w:t>
            </w:r>
            <w:r>
              <w:fldChar w:fldCharType="begin"/>
            </w:r>
            <w:r w:rsidRPr="00226F00">
              <w:rPr>
                <w:lang w:val="en-US"/>
              </w:rPr>
              <w:instrText>XE "Access 2013"</w:instrText>
            </w:r>
            <w:r>
              <w:fldChar w:fldCharType="end"/>
            </w:r>
          </w:p>
          <w:p w:rsidR="00E82782" w:rsidRPr="00226F00" w:rsidRDefault="00E82782" w:rsidP="00E82782">
            <w:pPr>
              <w:pStyle w:val="ProductList-Body"/>
              <w:rPr>
                <w:lang w:val="en-US"/>
              </w:rPr>
            </w:pPr>
            <w:r w:rsidRPr="00226F00">
              <w:rPr>
                <w:rFonts w:ascii="Segoe UI" w:hAnsi="Segoe UI"/>
                <w:color w:val="58595B" w:themeColor="text1"/>
                <w:szCs w:val="18"/>
                <w:lang w:val="en-US"/>
              </w:rPr>
              <w:t>Excel 2013</w:t>
            </w:r>
            <w:r>
              <w:fldChar w:fldCharType="begin"/>
            </w:r>
            <w:r w:rsidRPr="00226F00">
              <w:rPr>
                <w:lang w:val="en-US"/>
              </w:rPr>
              <w:instrText>XE "Excel 2013"</w:instrText>
            </w:r>
            <w:r>
              <w:fldChar w:fldCharType="end"/>
            </w:r>
            <w:r w:rsidRPr="00226F00">
              <w:rPr>
                <w:rFonts w:ascii="Segoe UI" w:hAnsi="Segoe UI"/>
                <w:color w:val="58595B" w:themeColor="text1"/>
                <w:szCs w:val="18"/>
                <w:lang w:val="en-US"/>
              </w:rPr>
              <w:t xml:space="preserve"> </w:t>
            </w:r>
          </w:p>
          <w:p w:rsidR="00E82782" w:rsidRPr="00226F00" w:rsidRDefault="00E82782" w:rsidP="00E82782">
            <w:pPr>
              <w:pStyle w:val="ProductList-Body"/>
              <w:rPr>
                <w:lang w:val="en-US"/>
              </w:rPr>
            </w:pPr>
            <w:r w:rsidRPr="00226F00">
              <w:rPr>
                <w:rFonts w:ascii="Segoe UI" w:hAnsi="Segoe UI"/>
                <w:color w:val="58595B" w:themeColor="text1"/>
                <w:szCs w:val="18"/>
                <w:lang w:val="en-US"/>
              </w:rPr>
              <w:t>InfoPath 2013</w:t>
            </w:r>
            <w:r>
              <w:fldChar w:fldCharType="begin"/>
            </w:r>
            <w:r w:rsidRPr="00226F00">
              <w:rPr>
                <w:lang w:val="en-US"/>
              </w:rPr>
              <w:instrText>XE "InfoPath 2013"</w:instrText>
            </w:r>
            <w:r>
              <w:fldChar w:fldCharType="end"/>
            </w:r>
          </w:p>
          <w:p w:rsidR="00E82782" w:rsidRPr="00226F00" w:rsidRDefault="00E82782" w:rsidP="00E82782">
            <w:pPr>
              <w:pStyle w:val="ProductList-Body"/>
              <w:rPr>
                <w:lang w:val="en-US"/>
              </w:rPr>
            </w:pPr>
            <w:r w:rsidRPr="00226F00">
              <w:rPr>
                <w:rFonts w:ascii="Segoe UI" w:hAnsi="Segoe UI"/>
                <w:color w:val="58595B" w:themeColor="text1"/>
                <w:szCs w:val="18"/>
                <w:lang w:val="en-US"/>
              </w:rPr>
              <w:t>Lync 2013</w:t>
            </w:r>
            <w:r>
              <w:fldChar w:fldCharType="begin"/>
            </w:r>
            <w:r w:rsidRPr="00226F00">
              <w:rPr>
                <w:lang w:val="en-US"/>
              </w:rPr>
              <w:instrText>XE "Lync 2013"</w:instrText>
            </w:r>
            <w:r>
              <w:fldChar w:fldCharType="end"/>
            </w:r>
          </w:p>
          <w:p w:rsidR="00E82782" w:rsidRPr="00226F00" w:rsidRDefault="00E82782" w:rsidP="00E82782">
            <w:pPr>
              <w:pStyle w:val="ProductList-Body"/>
              <w:rPr>
                <w:lang w:val="en-US"/>
              </w:rPr>
            </w:pPr>
            <w:r w:rsidRPr="00226F00">
              <w:rPr>
                <w:rFonts w:ascii="Segoe UI" w:hAnsi="Segoe UI"/>
                <w:color w:val="58595B" w:themeColor="text1"/>
                <w:szCs w:val="18"/>
                <w:lang w:val="en-US"/>
              </w:rPr>
              <w:t>OneNote 2013</w:t>
            </w:r>
            <w:r>
              <w:fldChar w:fldCharType="begin"/>
            </w:r>
            <w:r w:rsidRPr="00226F00">
              <w:rPr>
                <w:lang w:val="en-US"/>
              </w:rPr>
              <w:instrText>XE "OneNote 2013"</w:instrText>
            </w:r>
            <w:r>
              <w:fldChar w:fldCharType="end"/>
            </w:r>
          </w:p>
          <w:p w:rsidR="00E82782" w:rsidRPr="00CA772A" w:rsidRDefault="00E82782" w:rsidP="00E82782">
            <w:pPr>
              <w:pStyle w:val="ProductList-Body"/>
            </w:pPr>
            <w:r>
              <w:rPr>
                <w:rFonts w:ascii="Segoe UI" w:hAnsi="Segoe UI"/>
                <w:color w:val="58595B" w:themeColor="text1"/>
                <w:szCs w:val="18"/>
              </w:rPr>
              <w:t>Outlook 2013</w:t>
            </w:r>
            <w:r>
              <w:fldChar w:fldCharType="begin"/>
            </w:r>
            <w:r>
              <w:instrText>XE "Outlook 2013"</w:instrText>
            </w:r>
            <w:r>
              <w:fldChar w:fldCharType="end"/>
            </w:r>
          </w:p>
          <w:p w:rsidR="00E82782" w:rsidRPr="00CA772A" w:rsidRDefault="00E82782" w:rsidP="00E82782">
            <w:pPr>
              <w:pStyle w:val="ProductList-Body"/>
            </w:pPr>
            <w:r>
              <w:rPr>
                <w:rFonts w:ascii="Segoe UI" w:hAnsi="Segoe UI"/>
                <w:color w:val="58595B" w:themeColor="text1"/>
                <w:szCs w:val="18"/>
              </w:rPr>
              <w:t>PowerPoint 2013</w:t>
            </w:r>
            <w:r>
              <w:fldChar w:fldCharType="begin"/>
            </w:r>
            <w:r>
              <w:instrText>XE "PowerPoint 2013"</w:instrText>
            </w:r>
            <w:r>
              <w:fldChar w:fldCharType="end"/>
            </w:r>
          </w:p>
          <w:p w:rsidR="00E82782" w:rsidRPr="00CA772A" w:rsidRDefault="00E82782" w:rsidP="00E82782">
            <w:pPr>
              <w:pStyle w:val="ProductList-Body"/>
            </w:pPr>
            <w:r>
              <w:rPr>
                <w:rFonts w:ascii="Segoe UI" w:hAnsi="Segoe UI"/>
                <w:color w:val="58595B" w:themeColor="text1"/>
                <w:szCs w:val="18"/>
              </w:rPr>
              <w:t>Publisher 2013</w:t>
            </w:r>
            <w:r>
              <w:fldChar w:fldCharType="begin"/>
            </w:r>
            <w:r>
              <w:instrText>XE "Publisher 2013"</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2013</w:t>
            </w:r>
            <w:r>
              <w:fldChar w:fldCharType="begin"/>
            </w:r>
            <w:r>
              <w:instrText>XE "Word 2013"</w:instrText>
            </w:r>
            <w:r>
              <w:fldChar w:fldCharType="end"/>
            </w:r>
          </w:p>
        </w:tc>
        <w:tc>
          <w:tcPr>
            <w:tcW w:w="3600" w:type="dxa"/>
          </w:tcPr>
          <w:p w:rsidR="00E82782" w:rsidRPr="00226F00" w:rsidRDefault="00E82782" w:rsidP="00E82782">
            <w:pPr>
              <w:pStyle w:val="ProductList-Body"/>
              <w:rPr>
                <w:lang w:val="en-US"/>
              </w:rPr>
            </w:pPr>
            <w:r w:rsidRPr="00226F00">
              <w:rPr>
                <w:rFonts w:ascii="Segoe UI" w:hAnsi="Segoe UI"/>
                <w:color w:val="58595B" w:themeColor="text1"/>
                <w:szCs w:val="18"/>
                <w:lang w:val="en-US"/>
              </w:rPr>
              <w:t>Office per Mac Standard 2011</w:t>
            </w:r>
            <w:r>
              <w:fldChar w:fldCharType="begin"/>
            </w:r>
            <w:r w:rsidRPr="00226F00">
              <w:rPr>
                <w:lang w:val="en-US"/>
              </w:rPr>
              <w:instrText>XE "Office per Mac Standard 2011"</w:instrText>
            </w:r>
            <w:r>
              <w:fldChar w:fldCharType="end"/>
            </w:r>
            <w:r w:rsidRPr="00226F00">
              <w:rPr>
                <w:rFonts w:ascii="Segoe UI" w:hAnsi="Segoe UI"/>
                <w:color w:val="58595B" w:themeColor="text1"/>
                <w:szCs w:val="18"/>
                <w:lang w:val="en-US"/>
              </w:rPr>
              <w:t xml:space="preserve"> </w:t>
            </w:r>
          </w:p>
          <w:p w:rsidR="00E82782" w:rsidRPr="00226F00" w:rsidRDefault="00E82782" w:rsidP="00E82782">
            <w:pPr>
              <w:pStyle w:val="ProductList-Body"/>
              <w:rPr>
                <w:lang w:val="en-US"/>
              </w:rPr>
            </w:pPr>
            <w:r w:rsidRPr="00226F00">
              <w:rPr>
                <w:rFonts w:ascii="Segoe UI" w:hAnsi="Segoe UI"/>
                <w:color w:val="58595B" w:themeColor="text1"/>
                <w:szCs w:val="18"/>
                <w:lang w:val="en-US"/>
              </w:rPr>
              <w:t>Lync per Mac 2011</w:t>
            </w:r>
            <w:r>
              <w:fldChar w:fldCharType="begin"/>
            </w:r>
            <w:r w:rsidRPr="00226F00">
              <w:rPr>
                <w:lang w:val="en-US"/>
              </w:rPr>
              <w:instrText>XE "Lync per Mac 2011"</w:instrText>
            </w:r>
            <w:r>
              <w:fldChar w:fldCharType="end"/>
            </w:r>
          </w:p>
          <w:p w:rsidR="00E82782" w:rsidRPr="00A61B6D" w:rsidRDefault="00E82782" w:rsidP="00E82782">
            <w:pPr>
              <w:pStyle w:val="ProductList-Body"/>
              <w:rPr>
                <w:lang w:val="en-US"/>
              </w:rPr>
            </w:pPr>
            <w:r w:rsidRPr="00A61B6D">
              <w:rPr>
                <w:rFonts w:ascii="Segoe UI" w:hAnsi="Segoe UI"/>
                <w:color w:val="58595B" w:themeColor="text1"/>
                <w:szCs w:val="18"/>
                <w:lang w:val="en-US"/>
              </w:rPr>
              <w:t>Outlook per Mac 2011</w:t>
            </w:r>
            <w:r>
              <w:fldChar w:fldCharType="begin"/>
            </w:r>
            <w:r w:rsidRPr="00A61B6D">
              <w:rPr>
                <w:lang w:val="en-US"/>
              </w:rPr>
              <w:instrText>XE "Outlook per Mac 2011"</w:instrText>
            </w:r>
            <w:r>
              <w:fldChar w:fldCharType="end"/>
            </w:r>
          </w:p>
          <w:p w:rsidR="00E82782" w:rsidRPr="00A61B6D" w:rsidRDefault="00E82782" w:rsidP="00E82782">
            <w:pPr>
              <w:pStyle w:val="ProductList-Body"/>
              <w:rPr>
                <w:lang w:val="en-US"/>
              </w:rPr>
            </w:pPr>
            <w:r w:rsidRPr="00A61B6D">
              <w:rPr>
                <w:rFonts w:ascii="Segoe UI" w:hAnsi="Segoe UI"/>
                <w:color w:val="58595B" w:themeColor="text1"/>
                <w:szCs w:val="18"/>
                <w:lang w:val="en-US"/>
              </w:rPr>
              <w:t>PowerPoint per Mac 2011</w:t>
            </w:r>
            <w:r>
              <w:fldChar w:fldCharType="begin"/>
            </w:r>
            <w:r w:rsidRPr="00A61B6D">
              <w:rPr>
                <w:lang w:val="en-US"/>
              </w:rPr>
              <w:instrText>XE "PowerPoint per Mac 2011"</w:instrText>
            </w:r>
            <w:r>
              <w:fldChar w:fldCharType="end"/>
            </w:r>
          </w:p>
          <w:p w:rsidR="00E82782" w:rsidRPr="00A61B6D" w:rsidRDefault="00E82782" w:rsidP="00E82782">
            <w:pPr>
              <w:pStyle w:val="ProductList-Body"/>
              <w:rPr>
                <w:lang w:val="en-US"/>
              </w:rPr>
            </w:pPr>
            <w:r w:rsidRPr="00A61B6D">
              <w:rPr>
                <w:rFonts w:ascii="Segoe UI" w:hAnsi="Segoe UI"/>
                <w:color w:val="58595B" w:themeColor="text1"/>
                <w:szCs w:val="18"/>
                <w:lang w:val="en-US"/>
              </w:rPr>
              <w:t>Excel per Mac 2011</w:t>
            </w:r>
            <w:r>
              <w:fldChar w:fldCharType="begin"/>
            </w:r>
            <w:r w:rsidRPr="00A61B6D">
              <w:rPr>
                <w:lang w:val="en-US"/>
              </w:rPr>
              <w:instrText>XE "Excel per Mac 2011"</w:instrText>
            </w:r>
            <w:r>
              <w:fldChar w:fldCharType="end"/>
            </w:r>
          </w:p>
          <w:p w:rsidR="00E82782" w:rsidRPr="00A61B6D" w:rsidRDefault="00E82782" w:rsidP="00E82782">
            <w:pPr>
              <w:pStyle w:val="ProductList-Body"/>
              <w:rPr>
                <w:rFonts w:ascii="Segoe UI" w:hAnsi="Segoe UI"/>
                <w:color w:val="58595B" w:themeColor="text1"/>
                <w:szCs w:val="18"/>
                <w:lang w:val="en-US"/>
              </w:rPr>
            </w:pPr>
            <w:r w:rsidRPr="00A61B6D">
              <w:rPr>
                <w:rFonts w:ascii="Segoe UI" w:hAnsi="Segoe UI"/>
                <w:color w:val="58595B" w:themeColor="text1"/>
                <w:szCs w:val="18"/>
                <w:lang w:val="en-US"/>
              </w:rPr>
              <w:t>Word per Mac 2011</w:t>
            </w:r>
            <w:r>
              <w:fldChar w:fldCharType="begin"/>
            </w:r>
            <w:r w:rsidRPr="00A61B6D">
              <w:rPr>
                <w:lang w:val="en-US"/>
              </w:rPr>
              <w:instrText>XE "Word per Mac 2011"</w:instrText>
            </w:r>
            <w:r>
              <w:fldChar w:fldCharType="end"/>
            </w:r>
          </w:p>
        </w:tc>
      </w:tr>
    </w:tbl>
    <w:p w:rsidR="00E82782" w:rsidRPr="00CA772A" w:rsidRDefault="00E82782" w:rsidP="00E82782">
      <w:pPr>
        <w:pStyle w:val="ProductList-Body"/>
        <w:tabs>
          <w:tab w:val="clear" w:pos="158"/>
          <w:tab w:val="left" w:pos="180"/>
        </w:tabs>
      </w:pPr>
      <w:r>
        <w:rPr>
          <w:rFonts w:ascii="Segoe UI" w:hAnsi="Segoe UI"/>
          <w:color w:val="58595B" w:themeColor="text1"/>
          <w:szCs w:val="18"/>
        </w:rPr>
        <w:lastRenderedPageBreak/>
        <w:t>Nota: la lista dei prodotti del Pool di Applicazioni Office System è soggetta a modifica.</w:t>
      </w:r>
    </w:p>
    <w:p w:rsidR="00850C97" w:rsidRPr="00CA772A" w:rsidRDefault="00850C97" w:rsidP="009A7988">
      <w:pPr>
        <w:pStyle w:val="Heading2"/>
      </w:pPr>
      <w:bookmarkStart w:id="48" w:name="_Office_Online_1"/>
      <w:bookmarkStart w:id="49" w:name="_Enhanced_Edition_Benefits_1"/>
      <w:bookmarkStart w:id="50" w:name="_Vantaggi_delle_Edizioni"/>
      <w:bookmarkStart w:id="51" w:name="_Toc403380309"/>
      <w:bookmarkStart w:id="52" w:name="_Toc416105620"/>
      <w:bookmarkEnd w:id="48"/>
      <w:bookmarkEnd w:id="49"/>
      <w:bookmarkEnd w:id="50"/>
      <w:r>
        <w:t>Vantaggi delle Edizioni Enhanced: Windows e Windows Embedded</w:t>
      </w:r>
      <w:bookmarkEnd w:id="33"/>
      <w:bookmarkEnd w:id="51"/>
      <w:bookmarkEnd w:id="52"/>
      <w:r>
        <w:t xml:space="preserve"> </w:t>
      </w:r>
    </w:p>
    <w:p w:rsidR="00850C97" w:rsidRPr="00CA772A" w:rsidRDefault="00BC7B19" w:rsidP="002123CF">
      <w:r>
        <w:rPr>
          <w:color w:val="58595B" w:themeColor="text1"/>
          <w:szCs w:val="18"/>
        </w:rPr>
        <w:t>Con la copertura SA attiva per il sistema operativo Windows o il sistema operativo Windows Embedded la società diventa idonea a ricevere questo vantaggio. Nei dispositivi con copertura SA attiva potranno essere in esecuzione versioni aggiornate o precedenti del sistema operativo Desktop Windows o del sistema operativo Windows Embedded in conformità alle condizioni per l</w:t>
      </w:r>
      <w:r w:rsidR="00D1524D">
        <w:rPr>
          <w:color w:val="58595B" w:themeColor="text1"/>
          <w:szCs w:val="18"/>
        </w:rPr>
        <w:t>’</w:t>
      </w:r>
      <w:r>
        <w:rPr>
          <w:color w:val="58595B" w:themeColor="text1"/>
          <w:szCs w:val="18"/>
        </w:rPr>
        <w:t>utilizzo</w:t>
      </w:r>
      <w:r>
        <w:fldChar w:fldCharType="begin"/>
      </w:r>
      <w:r>
        <w:instrText>XE "Windows Embedded 8.1 Industry Pro"</w:instrText>
      </w:r>
      <w:r>
        <w:fldChar w:fldCharType="end"/>
      </w:r>
      <w:r>
        <w:rPr>
          <w:color w:val="58595B" w:themeColor="text1"/>
          <w:szCs w:val="18"/>
        </w:rPr>
        <w:t xml:space="preserve"> contenute nei Diritti di Utilizzo del Prodotto.</w:t>
      </w:r>
      <w:r w:rsidR="00F659C4">
        <w:rPr>
          <w:color w:val="58595B" w:themeColor="text1"/>
          <w:szCs w:val="18"/>
        </w:rPr>
        <w:t xml:space="preserve"> </w:t>
      </w:r>
      <w:r>
        <w:rPr>
          <w:color w:val="58595B" w:themeColor="text1"/>
          <w:szCs w:val="18"/>
        </w:rPr>
        <w:t xml:space="preserve">Ulteriori dettagli sono disponibili alla pagina </w:t>
      </w:r>
      <w:hyperlink r:id="rId25" w:history="1">
        <w:r>
          <w:rPr>
            <w:rStyle w:val="Hyperlink"/>
          </w:rPr>
          <w:t>http://www.microsoft.com/licensing/about-licensing/windows8-1.aspx</w:t>
        </w:r>
      </w:hyperlink>
      <w:r>
        <w:rPr>
          <w:color w:val="58595B" w:themeColor="text1"/>
          <w:szCs w:val="18"/>
        </w:rPr>
        <w:t>.</w:t>
      </w:r>
    </w:p>
    <w:p w:rsidR="00A019EE" w:rsidRPr="00CA772A" w:rsidRDefault="00A019EE" w:rsidP="009A7988">
      <w:pPr>
        <w:pStyle w:val="Heading2"/>
      </w:pPr>
      <w:bookmarkStart w:id="53" w:name="_Windows_Companion_Subscription"/>
      <w:bookmarkStart w:id="54" w:name="_Training_Vouchers"/>
      <w:bookmarkStart w:id="55" w:name="_E-Learning"/>
      <w:bookmarkStart w:id="56" w:name="_Toc403380310"/>
      <w:bookmarkStart w:id="57" w:name="_Toc416105621"/>
      <w:bookmarkEnd w:id="53"/>
      <w:bookmarkEnd w:id="54"/>
      <w:bookmarkEnd w:id="55"/>
      <w:r>
        <w:t>E-Learning</w:t>
      </w:r>
      <w:bookmarkEnd w:id="56"/>
      <w:bookmarkEnd w:id="57"/>
    </w:p>
    <w:p w:rsidR="00B129B1" w:rsidRPr="00CA772A" w:rsidRDefault="00DD41D4" w:rsidP="00B129B1">
      <w:pPr>
        <w:pStyle w:val="ProductList-Body"/>
      </w:pPr>
      <w:r>
        <w:rPr>
          <w:rFonts w:ascii="Segoe UI" w:hAnsi="Segoe UI"/>
          <w:color w:val="58595B" w:themeColor="text1"/>
          <w:szCs w:val="18"/>
        </w:rPr>
        <w:t>Qualora la società acquisti un Prodotto che offre e-learning, diventerà idonea a ricevere un codice di accesso per pool applicabile (Applicazioni, Sistemi e Server) e per Account per gli Acquisti.</w:t>
      </w:r>
      <w:r w:rsidR="00F659C4">
        <w:rPr>
          <w:rFonts w:ascii="Segoe UI" w:hAnsi="Segoe UI"/>
          <w:color w:val="58595B" w:themeColor="text1"/>
          <w:szCs w:val="18"/>
        </w:rPr>
        <w:t xml:space="preserve"> </w:t>
      </w:r>
      <w:r>
        <w:rPr>
          <w:rFonts w:ascii="Segoe UI" w:hAnsi="Segoe UI"/>
          <w:color w:val="58595B" w:themeColor="text1"/>
          <w:szCs w:val="18"/>
        </w:rPr>
        <w:t>La società potrà inoltre scaricare file E-learning di solo contenuto, conformi a SCORM (per alcuni Sistemi e Applicazioni) da MVLC per importarli nel proprio Learning Management System (LMS).</w:t>
      </w:r>
      <w:r w:rsidR="00F659C4">
        <w:rPr>
          <w:rFonts w:ascii="Segoe UI" w:hAnsi="Segoe UI"/>
          <w:color w:val="58595B" w:themeColor="text1"/>
          <w:szCs w:val="18"/>
        </w:rPr>
        <w:t xml:space="preserve"> </w:t>
      </w:r>
      <w:r>
        <w:rPr>
          <w:rFonts w:ascii="Segoe UI" w:hAnsi="Segoe UI"/>
          <w:color w:val="58595B" w:themeColor="text1"/>
          <w:szCs w:val="18"/>
        </w:rPr>
        <w:t xml:space="preserve">Per scaricare i file da MVLC non è necessario alcun codice di accesso. </w:t>
      </w:r>
    </w:p>
    <w:p w:rsidR="00B129B1" w:rsidRPr="00CA772A" w:rsidRDefault="00B129B1" w:rsidP="00BC431D">
      <w:pPr>
        <w:pStyle w:val="ProductList-Body"/>
        <w:spacing w:before="120" w:after="120"/>
      </w:pPr>
      <w:r>
        <w:rPr>
          <w:rFonts w:ascii="Segoe UI" w:hAnsi="Segoe UI"/>
          <w:color w:val="58595B" w:themeColor="text1"/>
          <w:szCs w:val="18"/>
        </w:rPr>
        <w:t>Il numero massimo di utenti per i quali la società potrà utilizzare il corso di E-Learning è uguale al numero di copie con licenza coperte da Software Assurance che la società ha dei prodotti corrispondenti che offrono e-learning. La società dovrà designare un utente per ciascuna licenza.</w:t>
      </w:r>
      <w:r w:rsidR="00F659C4">
        <w:rPr>
          <w:rFonts w:ascii="Segoe UI" w:hAnsi="Segoe UI"/>
          <w:color w:val="58595B" w:themeColor="text1"/>
          <w:szCs w:val="18"/>
        </w:rPr>
        <w:t xml:space="preserve"> </w:t>
      </w:r>
      <w:r>
        <w:rPr>
          <w:rFonts w:ascii="Segoe UI" w:hAnsi="Segoe UI"/>
          <w:color w:val="58595B" w:themeColor="text1"/>
          <w:szCs w:val="18"/>
        </w:rPr>
        <w:t>L</w:t>
      </w:r>
      <w:r w:rsidR="00D1524D">
        <w:rPr>
          <w:rFonts w:ascii="Segoe UI" w:hAnsi="Segoe UI"/>
          <w:color w:val="58595B" w:themeColor="text1"/>
          <w:szCs w:val="18"/>
        </w:rPr>
        <w:t>’</w:t>
      </w:r>
      <w:r>
        <w:rPr>
          <w:rFonts w:ascii="Segoe UI" w:hAnsi="Segoe UI"/>
          <w:color w:val="58595B" w:themeColor="text1"/>
          <w:szCs w:val="18"/>
        </w:rPr>
        <w:t>accesso non può essere trasferito da un utente a un altro.</w:t>
      </w:r>
      <w:r w:rsidR="00F659C4">
        <w:rPr>
          <w:rFonts w:ascii="Segoe UI" w:hAnsi="Segoe UI"/>
          <w:color w:val="58595B" w:themeColor="text1"/>
          <w:szCs w:val="18"/>
        </w:rPr>
        <w:t xml:space="preserve"> </w:t>
      </w:r>
    </w:p>
    <w:p w:rsidR="00B129B1" w:rsidRPr="00CA772A" w:rsidRDefault="00887401" w:rsidP="00B129B1">
      <w:pPr>
        <w:pStyle w:val="ProductList-Body"/>
      </w:pPr>
      <w:r>
        <w:rPr>
          <w:rFonts w:ascii="Segoe UI" w:hAnsi="Segoe UI"/>
          <w:color w:val="58595B" w:themeColor="text1"/>
          <w:szCs w:val="18"/>
        </w:rPr>
        <w:t>Quando la società è idonea, potrà acquistare i kit di E-learning presso un centro di rifornimento regionale qualora l</w:t>
      </w:r>
      <w:r w:rsidR="00D1524D">
        <w:rPr>
          <w:rFonts w:ascii="Segoe UI" w:hAnsi="Segoe UI"/>
          <w:color w:val="58595B" w:themeColor="text1"/>
          <w:szCs w:val="18"/>
        </w:rPr>
        <w:t>’</w:t>
      </w:r>
      <w:r>
        <w:rPr>
          <w:rFonts w:ascii="Segoe UI" w:hAnsi="Segoe UI"/>
          <w:color w:val="58595B" w:themeColor="text1"/>
          <w:szCs w:val="18"/>
        </w:rPr>
        <w:t xml:space="preserve">opzione online non sia sufficiente. </w:t>
      </w:r>
    </w:p>
    <w:p w:rsidR="00B129B1" w:rsidRPr="00CA772A" w:rsidRDefault="00887401" w:rsidP="00B129B1">
      <w:pPr>
        <w:pStyle w:val="ProductList-Body"/>
      </w:pPr>
      <w:r>
        <w:rPr>
          <w:rFonts w:ascii="Segoe UI" w:hAnsi="Segoe UI"/>
          <w:color w:val="58595B" w:themeColor="text1"/>
          <w:szCs w:val="18"/>
        </w:rPr>
        <w:t>La distribuzione e l</w:t>
      </w:r>
      <w:r w:rsidR="00D1524D">
        <w:rPr>
          <w:rFonts w:ascii="Segoe UI" w:hAnsi="Segoe UI"/>
          <w:color w:val="58595B" w:themeColor="text1"/>
          <w:szCs w:val="18"/>
        </w:rPr>
        <w:t>’</w:t>
      </w:r>
      <w:r>
        <w:rPr>
          <w:rFonts w:ascii="Segoe UI" w:hAnsi="Segoe UI"/>
          <w:color w:val="58595B" w:themeColor="text1"/>
          <w:szCs w:val="18"/>
        </w:rPr>
        <w:t>utilizzo dei corsi di E-Learning da parte della società sono soggetti alle condizioni della licenza.</w:t>
      </w:r>
      <w:r w:rsidR="00F659C4">
        <w:rPr>
          <w:rFonts w:ascii="Segoe UI" w:hAnsi="Segoe UI"/>
          <w:color w:val="58595B" w:themeColor="text1"/>
          <w:szCs w:val="18"/>
        </w:rPr>
        <w:t xml:space="preserve"> </w:t>
      </w:r>
    </w:p>
    <w:p w:rsidR="00B129B1" w:rsidRPr="00CA772A" w:rsidRDefault="00B129B1" w:rsidP="00B129B1">
      <w:pPr>
        <w:pStyle w:val="ProductList-Body"/>
        <w:rPr>
          <w:highlight w:val="yellow"/>
        </w:rPr>
      </w:pPr>
    </w:p>
    <w:p w:rsidR="00B129B1" w:rsidRPr="00CA772A" w:rsidRDefault="00887401" w:rsidP="00B129B1">
      <w:pPr>
        <w:pStyle w:val="ProductList-Body"/>
      </w:pPr>
      <w:r>
        <w:rPr>
          <w:rFonts w:ascii="Segoe UI" w:hAnsi="Segoe UI"/>
          <w:color w:val="58595B" w:themeColor="text1"/>
          <w:szCs w:val="18"/>
        </w:rPr>
        <w:t>Quando la società è in possesso della copertura SA per i Prodotti Applicazioni o Sistemi qualificanti, è idonea a utilizzare corsi di E-Learning ospitati e contenuto conforme a SCORM. Quando la società dispone di Prodotti Server qualificanti, è idonea a utilizzare i corsi di E-Learning Server ospitati, ma non il contenuto conforme a SCORM.</w:t>
      </w:r>
    </w:p>
    <w:p w:rsidR="00A019EE" w:rsidRPr="00CA772A" w:rsidRDefault="00A019EE" w:rsidP="009A7988">
      <w:pPr>
        <w:pStyle w:val="Heading2"/>
      </w:pPr>
      <w:bookmarkStart w:id="58" w:name="_Home_Use_Program"/>
      <w:bookmarkStart w:id="59" w:name="_Toc403380311"/>
      <w:bookmarkStart w:id="60" w:name="_Toc416105622"/>
      <w:bookmarkEnd w:id="58"/>
      <w:r>
        <w:t>Home Use Program</w:t>
      </w:r>
      <w:bookmarkEnd w:id="59"/>
      <w:bookmarkEnd w:id="60"/>
    </w:p>
    <w:p w:rsidR="00590E43" w:rsidRPr="00CA772A" w:rsidRDefault="00887401" w:rsidP="00BC431D">
      <w:pPr>
        <w:pStyle w:val="ProductList-Body"/>
        <w:spacing w:after="120"/>
      </w:pPr>
      <w:r>
        <w:rPr>
          <w:rFonts w:ascii="Segoe UI" w:hAnsi="Segoe UI"/>
          <w:color w:val="58595B" w:themeColor="text1"/>
          <w:szCs w:val="18"/>
        </w:rPr>
        <w:t>Quando la società ha una copertura SA attiva per i Prodotti applicativi desktop qualificanti, è idonea a partecipare al programma Home Use Program, che permette ai suoi dipendenti, che utilizzano le applicazioni con licenza qualificanti, di acquistare una licenza singola per il corrispondente software Home Use Program da installare su un massimo di due dispositivi (o 2 PC o 2 Mac, specifici per il software acquistato) per ogni licenza dell</w:t>
      </w:r>
      <w:r w:rsidR="00D1524D">
        <w:rPr>
          <w:rFonts w:ascii="Segoe UI" w:hAnsi="Segoe UI"/>
          <w:color w:val="58595B" w:themeColor="text1"/>
          <w:szCs w:val="18"/>
        </w:rPr>
        <w:t>’</w:t>
      </w:r>
      <w:r>
        <w:rPr>
          <w:rFonts w:ascii="Segoe UI" w:hAnsi="Segoe UI"/>
          <w:color w:val="58595B" w:themeColor="text1"/>
          <w:szCs w:val="18"/>
        </w:rPr>
        <w:t>applicazione desktop applicabile acquistata.</w:t>
      </w:r>
      <w:r w:rsidR="00F659C4">
        <w:rPr>
          <w:rFonts w:ascii="Segoe UI" w:hAnsi="Segoe UI"/>
          <w:color w:val="58595B" w:themeColor="text1"/>
          <w:szCs w:val="18"/>
        </w:rPr>
        <w:t xml:space="preserve"> </w:t>
      </w:r>
      <w:r>
        <w:rPr>
          <w:rFonts w:ascii="Segoe UI" w:hAnsi="Segoe UI"/>
          <w:color w:val="58595B" w:themeColor="text1"/>
          <w:szCs w:val="18"/>
        </w:rPr>
        <w:t>A condizione che i dipendenti della società ricevano da Microsoft in primo luogo i codici Product Key appropriati per Home Use Program, la società potrà consentire ai propri dipendenti di installare il software Home Use Program corrispondente, acquistato dalle società ai sensi del Contratto MPSA, sui computer di casa e i dispositivi portatili dei dipendenti che si trovano presso le sedi della società.</w:t>
      </w:r>
      <w:r w:rsidR="00F659C4">
        <w:rPr>
          <w:rFonts w:ascii="Segoe UI" w:hAnsi="Segoe UI"/>
          <w:color w:val="58595B" w:themeColor="text1"/>
          <w:szCs w:val="18"/>
        </w:rPr>
        <w:t xml:space="preserve"> </w:t>
      </w:r>
      <w:r>
        <w:rPr>
          <w:rFonts w:ascii="Segoe UI" w:hAnsi="Segoe UI"/>
          <w:color w:val="58595B" w:themeColor="text1"/>
          <w:szCs w:val="18"/>
        </w:rPr>
        <w:t>Qualora una nuova versione sia rilasciata durante il periodo di utilizzo qualificato, gli utenti principali possono acquistare la versione più recente in sostituzione della versione attualmente installata.</w:t>
      </w:r>
      <w:r w:rsidR="00F659C4">
        <w:rPr>
          <w:rFonts w:ascii="Segoe UI" w:hAnsi="Segoe UI"/>
          <w:color w:val="58595B" w:themeColor="text1"/>
          <w:szCs w:val="18"/>
        </w:rPr>
        <w:t xml:space="preserve"> </w:t>
      </w:r>
      <w:r>
        <w:rPr>
          <w:rFonts w:ascii="Segoe UI" w:hAnsi="Segoe UI"/>
          <w:color w:val="58595B" w:themeColor="text1"/>
          <w:szCs w:val="18"/>
        </w:rPr>
        <w:t>Le applicazioni desktop che si qualificano per la partecipazione al programma Home Use Program e quelle che sono disponibili nel programma Home Use Program sono indicate nella tabella che segue.</w:t>
      </w:r>
    </w:p>
    <w:p w:rsidR="00590E43" w:rsidRPr="00CA772A" w:rsidRDefault="00590E43" w:rsidP="00590E43">
      <w:pPr>
        <w:pStyle w:val="ProductList-Body"/>
      </w:pPr>
      <w:r>
        <w:rPr>
          <w:rFonts w:ascii="Segoe UI" w:hAnsi="Segoe UI"/>
          <w:color w:val="58595B" w:themeColor="text1"/>
          <w:szCs w:val="18"/>
        </w:rPr>
        <w:t xml:space="preserve">Microsoft potrà interrompere la partecipazione della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rsidR="00590E43" w:rsidRPr="00CA772A" w:rsidRDefault="00590E43" w:rsidP="00BC431D">
      <w:pPr>
        <w:pStyle w:val="ProductList-Body"/>
        <w:spacing w:before="120" w:after="120"/>
      </w:pPr>
      <w:r>
        <w:rPr>
          <w:rFonts w:ascii="Segoe UI" w:hAnsi="Segoe UI"/>
          <w:color w:val="58595B" w:themeColor="text1"/>
          <w:szCs w:val="18"/>
        </w:rPr>
        <w:t>Ai sensi del programma Home Use Program le Licenze scadono con la risoluzione del rapporto di lavoro, con la risoluzione o la scadenza della copertura SA per la copia dell</w:t>
      </w:r>
      <w:r w:rsidR="00D1524D">
        <w:rPr>
          <w:rFonts w:ascii="Segoe UI" w:hAnsi="Segoe UI"/>
          <w:color w:val="58595B" w:themeColor="text1"/>
          <w:szCs w:val="18"/>
        </w:rPr>
        <w:t>’</w:t>
      </w:r>
      <w:r>
        <w:rPr>
          <w:rFonts w:ascii="Segoe UI" w:hAnsi="Segoe UI"/>
          <w:color w:val="58595B" w:themeColor="text1"/>
          <w:szCs w:val="18"/>
        </w:rPr>
        <w:t>applicazione desktop corrispondente che il dipendente utilizza in ufficio, qualora il dipendente non usi più la copia con licenza del software, o in occasione dell</w:t>
      </w:r>
      <w:r w:rsidR="00D1524D">
        <w:rPr>
          <w:rFonts w:ascii="Segoe UI" w:hAnsi="Segoe UI"/>
          <w:color w:val="58595B" w:themeColor="text1"/>
          <w:szCs w:val="18"/>
        </w:rPr>
        <w:t>’</w:t>
      </w:r>
      <w:r>
        <w:rPr>
          <w:rFonts w:ascii="Segoe UI" w:hAnsi="Segoe UI"/>
          <w:color w:val="58595B" w:themeColor="text1"/>
          <w:szCs w:val="18"/>
        </w:rPr>
        <w:t>installazione e dell</w:t>
      </w:r>
      <w:r w:rsidR="00D1524D">
        <w:rPr>
          <w:rFonts w:ascii="Segoe UI" w:hAnsi="Segoe UI"/>
          <w:color w:val="58595B" w:themeColor="text1"/>
          <w:szCs w:val="18"/>
        </w:rPr>
        <w:t>’</w:t>
      </w:r>
      <w:r>
        <w:rPr>
          <w:rFonts w:ascii="Segoe UI" w:hAnsi="Segoe UI"/>
          <w:color w:val="58595B" w:themeColor="text1"/>
          <w:szCs w:val="18"/>
        </w:rPr>
        <w:t>impiego da parte del dipendente di una versione precedente o successiva dell</w:t>
      </w:r>
      <w:r w:rsidR="00D1524D">
        <w:rPr>
          <w:rFonts w:ascii="Segoe UI" w:hAnsi="Segoe UI"/>
          <w:color w:val="58595B" w:themeColor="text1"/>
          <w:szCs w:val="18"/>
        </w:rPr>
        <w:t>’</w:t>
      </w:r>
      <w:r>
        <w:rPr>
          <w:rFonts w:ascii="Segoe UI" w:hAnsi="Segoe UI"/>
          <w:color w:val="58595B" w:themeColor="text1"/>
          <w:szCs w:val="18"/>
        </w:rPr>
        <w:t>applicazione desktop in conformità alla licenza Home Use Program.</w:t>
      </w:r>
    </w:p>
    <w:p w:rsidR="00590E43" w:rsidRPr="00CA772A" w:rsidRDefault="00590E43" w:rsidP="00590E43">
      <w:pPr>
        <w:pStyle w:val="ProductList-Body"/>
      </w:pPr>
      <w:r>
        <w:rPr>
          <w:rFonts w:ascii="Segoe UI" w:hAnsi="Segoe UI"/>
          <w:color w:val="58595B" w:themeColor="text1"/>
          <w:szCs w:val="18"/>
        </w:rPr>
        <w:t>Le condizioni per l</w:t>
      </w:r>
      <w:r w:rsidR="00D1524D">
        <w:rPr>
          <w:rFonts w:ascii="Segoe UI" w:hAnsi="Segoe UI"/>
          <w:color w:val="58595B" w:themeColor="text1"/>
          <w:szCs w:val="18"/>
        </w:rPr>
        <w:t>’</w:t>
      </w:r>
      <w:r>
        <w:rPr>
          <w:rFonts w:ascii="Segoe UI" w:hAnsi="Segoe UI"/>
          <w:color w:val="58595B" w:themeColor="text1"/>
          <w:szCs w:val="18"/>
        </w:rPr>
        <w:t>utilizzo del software Home Use Program intercorrono tra Microsoft e il dipendente della società e sono accessibili tramite il sito Web del programma. Tali condizioni potranno variare dai diritti forniti ai sensi del Contratto MPSA. La società dovrà limitare l</w:t>
      </w:r>
      <w:r w:rsidR="00D1524D">
        <w:rPr>
          <w:rFonts w:ascii="Segoe UI" w:hAnsi="Segoe UI"/>
          <w:color w:val="58595B" w:themeColor="text1"/>
          <w:szCs w:val="18"/>
        </w:rPr>
        <w:t>’</w:t>
      </w:r>
      <w:r>
        <w:rPr>
          <w:rFonts w:ascii="Segoe UI" w:hAnsi="Segoe UI"/>
          <w:color w:val="58595B" w:themeColor="text1"/>
          <w:szCs w:val="18"/>
        </w:rPr>
        <w:t>accesso al programma Home Use Program ai dipendenti e informarli che dovranno interrompere l</w:t>
      </w:r>
      <w:r w:rsidR="00D1524D">
        <w:rPr>
          <w:rFonts w:ascii="Segoe UI" w:hAnsi="Segoe UI"/>
          <w:color w:val="58595B" w:themeColor="text1"/>
          <w:szCs w:val="18"/>
        </w:rPr>
        <w:t>’</w:t>
      </w:r>
      <w:r>
        <w:rPr>
          <w:rFonts w:ascii="Segoe UI" w:hAnsi="Segoe UI"/>
          <w:color w:val="58595B" w:themeColor="text1"/>
          <w:szCs w:val="18"/>
        </w:rPr>
        <w:t>utilizzo del software Home Use Program alla scadenza della copertura Software Assurance o alla risoluzione del rapporto di lavoro.</w:t>
      </w:r>
    </w:p>
    <w:p w:rsidR="00590E43" w:rsidRPr="00CA772A" w:rsidRDefault="00590E43" w:rsidP="00BC431D">
      <w:pPr>
        <w:pStyle w:val="ProductList-Body"/>
        <w:spacing w:before="120"/>
      </w:pPr>
      <w:r>
        <w:rPr>
          <w:rFonts w:ascii="Segoe UI" w:hAnsi="Segoe UI"/>
          <w:color w:val="58595B" w:themeColor="text1"/>
          <w:szCs w:val="18"/>
        </w:rPr>
        <w:lastRenderedPageBreak/>
        <w:t>La partecipazione al programma potrà implicare il pagamento di alcune imposte da parte della società e dei suoi dipendenti.</w:t>
      </w:r>
      <w:r w:rsidR="00F659C4">
        <w:rPr>
          <w:rFonts w:ascii="Segoe UI" w:hAnsi="Segoe UI"/>
          <w:color w:val="58595B" w:themeColor="text1"/>
          <w:szCs w:val="18"/>
        </w:rPr>
        <w:t xml:space="preserve"> </w:t>
      </w:r>
      <w:r>
        <w:rPr>
          <w:rFonts w:ascii="Segoe UI" w:hAnsi="Segoe UI"/>
          <w:color w:val="58595B" w:themeColor="text1"/>
          <w:szCs w:val="18"/>
        </w:rPr>
        <w:t>Microsoft non si assume alcuna responsabilità riguardo alla conformità alle obbligazioni che la società o i suoi dipendenti potranno avere circa la relazione rapporto di lavoro-vantaggio, le imposte o le segnalazioni. Ulteriori condizioni che si applicano ai dipendenti che risiedono in Nuova Zelanda sono stabilite di seguito:</w:t>
      </w:r>
    </w:p>
    <w:p w:rsidR="00590E43" w:rsidRPr="00CA772A" w:rsidRDefault="00623302" w:rsidP="007B5219">
      <w:pPr>
        <w:pStyle w:val="BodyText"/>
        <w:numPr>
          <w:ilvl w:val="0"/>
          <w:numId w:val="16"/>
        </w:numPr>
        <w:spacing w:after="0"/>
      </w:pPr>
      <w:r>
        <w:t>La società non dovrà richiedere alcun pagamento o compenso ai dipendenti in relazione all</w:t>
      </w:r>
      <w:r w:rsidR="00D1524D">
        <w:t>’</w:t>
      </w:r>
      <w:r>
        <w:t>HUP né dovrà svolgere o omettere di svolgere azioni che avrebbero come conseguenza l</w:t>
      </w:r>
      <w:r w:rsidR="00D1524D">
        <w:t>’</w:t>
      </w:r>
      <w:r>
        <w:t xml:space="preserve">aumento del costo totale dei vantaggi HUP per qualsiasi dipendente residente in Nuova Zelanda al di là di qualsiasi importo addebitato da Microsoft. </w:t>
      </w:r>
    </w:p>
    <w:p w:rsidR="00590E43" w:rsidRPr="00CA772A" w:rsidRDefault="00623302" w:rsidP="00590E43">
      <w:pPr>
        <w:pStyle w:val="BodyText"/>
        <w:numPr>
          <w:ilvl w:val="0"/>
          <w:numId w:val="16"/>
        </w:numPr>
        <w:spacing w:after="0"/>
      </w:pPr>
      <w:r>
        <w:t xml:space="preserve">La società dovrà indennizzare e garantire che Microsoft e le relative consociate siano indennizzate e sollevate da qualsiasi costo, spesa, perdita o danno riportato da Microsoft o dalle sue consociate derivante dalla mancata conformità alle obbligazioni previste nel presente Articolo. </w:t>
      </w:r>
    </w:p>
    <w:p w:rsidR="00BC431D" w:rsidRPr="00CC75CC" w:rsidRDefault="00BC431D" w:rsidP="00BC431D">
      <w:pPr>
        <w:pStyle w:val="BodyText"/>
        <w:spacing w:after="0"/>
        <w:rPr>
          <w:sz w:val="16"/>
        </w:rPr>
      </w:pPr>
    </w:p>
    <w:p w:rsidR="00590E43" w:rsidRPr="00CA772A" w:rsidRDefault="00590E43" w:rsidP="00590E43">
      <w:pPr>
        <w:pStyle w:val="ProductList-Body"/>
      </w:pPr>
      <w:r>
        <w:rPr>
          <w:rFonts w:ascii="Segoe UI" w:hAnsi="Segoe UI"/>
          <w:color w:val="58595B" w:themeColor="text1"/>
          <w:szCs w:val="18"/>
        </w:rPr>
        <w:t xml:space="preserve">Le applicazioni desktop che si qualificano per la partecipazione e sono disponibili nel programma Home Use Program sono indicate qui: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590E43" w:rsidRPr="00E23144" w:rsidTr="00092756">
        <w:trPr>
          <w:trHeight w:val="60"/>
          <w:tblHeader/>
        </w:trPr>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Applicazioni Desktop Qualificanti</w:t>
            </w:r>
          </w:p>
        </w:tc>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Licenza per Home Use Program Corrispondente</w:t>
            </w:r>
          </w:p>
        </w:tc>
      </w:tr>
      <w:tr w:rsidR="00590E43" w:rsidRPr="00226F00" w:rsidTr="00092756">
        <w:trPr>
          <w:trHeight w:val="438"/>
        </w:trPr>
        <w:tc>
          <w:tcPr>
            <w:tcW w:w="5355" w:type="dxa"/>
            <w:tcMar>
              <w:top w:w="0" w:type="dxa"/>
              <w:left w:w="108" w:type="dxa"/>
              <w:bottom w:w="0" w:type="dxa"/>
              <w:right w:w="108" w:type="dxa"/>
            </w:tcMar>
            <w:vAlign w:val="center"/>
          </w:tcPr>
          <w:p w:rsidR="00590E43" w:rsidRPr="00643BFF" w:rsidRDefault="00590E43" w:rsidP="00A3735F">
            <w:pPr>
              <w:pStyle w:val="ProductList-Body"/>
              <w:rPr>
                <w:lang w:val="fr-FR"/>
              </w:rPr>
            </w:pPr>
            <w:r w:rsidRPr="00643BFF">
              <w:rPr>
                <w:rFonts w:ascii="Segoe UI" w:hAnsi="Segoe UI"/>
                <w:color w:val="58595B" w:themeColor="text1"/>
                <w:szCs w:val="18"/>
                <w:lang w:val="fr-FR"/>
              </w:rPr>
              <w:t>Office Standard 2010/2013</w:t>
            </w:r>
          </w:p>
          <w:p w:rsidR="00590E43" w:rsidRPr="00643BFF" w:rsidRDefault="00590E43" w:rsidP="00A3735F">
            <w:pPr>
              <w:pStyle w:val="ProductList-Body"/>
              <w:rPr>
                <w:lang w:val="fr-FR"/>
              </w:rPr>
            </w:pPr>
            <w:r w:rsidRPr="00643BFF">
              <w:rPr>
                <w:rFonts w:ascii="Segoe UI" w:hAnsi="Segoe UI"/>
                <w:color w:val="58595B" w:themeColor="text1"/>
                <w:szCs w:val="18"/>
                <w:lang w:val="fr-FR"/>
              </w:rPr>
              <w:t>Office Professional Plus 2010</w:t>
            </w:r>
            <w:r>
              <w:fldChar w:fldCharType="begin"/>
            </w:r>
            <w:r w:rsidRPr="00643BFF">
              <w:rPr>
                <w:lang w:val="fr-FR"/>
              </w:rPr>
              <w:instrText>XE "Office Professional Plus 2010"</w:instrText>
            </w:r>
            <w:r>
              <w:fldChar w:fldCharType="end"/>
            </w:r>
            <w:r w:rsidRPr="00643BFF">
              <w:rPr>
                <w:rFonts w:ascii="Segoe UI" w:hAnsi="Segoe UI"/>
                <w:color w:val="58595B" w:themeColor="text1"/>
                <w:szCs w:val="18"/>
                <w:lang w:val="fr-FR"/>
              </w:rPr>
              <w:t>/2013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per Mac 2008 / Office per Mac Standard 2011</w:t>
            </w:r>
            <w:r>
              <w:fldChar w:fldCharType="begin"/>
            </w:r>
            <w:r>
              <w:instrText>XE "Office per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rsidR="00590E43" w:rsidRPr="00643BFF" w:rsidRDefault="00590E43" w:rsidP="00A3735F">
            <w:pPr>
              <w:pStyle w:val="ProductList-Body"/>
              <w:rPr>
                <w:lang w:val="fr-FR"/>
              </w:rPr>
            </w:pPr>
            <w:r w:rsidRPr="00643BFF">
              <w:rPr>
                <w:rFonts w:ascii="Segoe UI" w:hAnsi="Segoe UI"/>
                <w:color w:val="58595B" w:themeColor="text1"/>
                <w:szCs w:val="18"/>
                <w:lang w:val="fr-FR"/>
              </w:rPr>
              <w:t>HUP per Office Professional Plus 2013</w:t>
            </w:r>
            <w:r>
              <w:fldChar w:fldCharType="begin"/>
            </w:r>
            <w:r w:rsidRPr="00643BFF">
              <w:rPr>
                <w:lang w:val="fr-FR"/>
              </w:rPr>
              <w:instrText>XE "Office Professional Plus 2013"</w:instrText>
            </w:r>
            <w:r>
              <w:fldChar w:fldCharType="end"/>
            </w:r>
            <w:r w:rsidRPr="00643BFF">
              <w:rPr>
                <w:rFonts w:ascii="Segoe UI" w:hAnsi="Segoe UI"/>
                <w:color w:val="58595B" w:themeColor="text1"/>
                <w:szCs w:val="18"/>
                <w:lang w:val="fr-FR"/>
              </w:rPr>
              <w:t xml:space="preserve"> o</w:t>
            </w:r>
          </w:p>
          <w:p w:rsidR="00590E43" w:rsidRPr="00A61B6D" w:rsidRDefault="00590E43" w:rsidP="00A3735F">
            <w:pPr>
              <w:pStyle w:val="ProductList-Body"/>
              <w:rPr>
                <w:rFonts w:ascii="Segoe UI" w:hAnsi="Segoe UI"/>
                <w:color w:val="58595B" w:themeColor="text1"/>
                <w:szCs w:val="18"/>
                <w:lang w:val="en-US"/>
              </w:rPr>
            </w:pPr>
            <w:r w:rsidRPr="00A61B6D">
              <w:rPr>
                <w:rFonts w:ascii="Segoe UI" w:hAnsi="Segoe UI"/>
                <w:color w:val="58595B" w:themeColor="text1"/>
                <w:szCs w:val="18"/>
                <w:lang w:val="en-US"/>
              </w:rPr>
              <w:t>HUP per Office per Mac Home &amp; Business 2011</w:t>
            </w:r>
          </w:p>
        </w:tc>
      </w:tr>
      <w:tr w:rsidR="00590E43" w:rsidRPr="00226F00" w:rsidTr="00092756">
        <w:trPr>
          <w:trHeight w:val="438"/>
        </w:trPr>
        <w:tc>
          <w:tcPr>
            <w:tcW w:w="5355" w:type="dxa"/>
            <w:tcMar>
              <w:top w:w="0" w:type="dxa"/>
              <w:left w:w="108" w:type="dxa"/>
              <w:bottom w:w="0" w:type="dxa"/>
              <w:right w:w="108" w:type="dxa"/>
            </w:tcMar>
            <w:vAlign w:val="center"/>
          </w:tcPr>
          <w:p w:rsidR="00590E43" w:rsidRPr="00A61B6D" w:rsidRDefault="00590E43" w:rsidP="00A3735F">
            <w:pPr>
              <w:pStyle w:val="ProductList-Body"/>
              <w:rPr>
                <w:lang w:val="en-US"/>
              </w:rPr>
            </w:pPr>
            <w:r w:rsidRPr="00A61B6D">
              <w:rPr>
                <w:rFonts w:ascii="Segoe UI" w:hAnsi="Segoe UI"/>
                <w:color w:val="58595B" w:themeColor="text1"/>
                <w:szCs w:val="18"/>
                <w:lang w:val="en-US"/>
              </w:rPr>
              <w:t>Access 2010/2013</w:t>
            </w:r>
          </w:p>
          <w:p w:rsidR="00590E43" w:rsidRPr="00A61B6D" w:rsidRDefault="00590E43" w:rsidP="00A3735F">
            <w:pPr>
              <w:pStyle w:val="ProductList-Body"/>
              <w:rPr>
                <w:lang w:val="en-US"/>
              </w:rPr>
            </w:pPr>
            <w:r w:rsidRPr="00A61B6D">
              <w:rPr>
                <w:rFonts w:ascii="Segoe UI" w:hAnsi="Segoe UI"/>
                <w:color w:val="58595B" w:themeColor="text1"/>
                <w:szCs w:val="18"/>
                <w:lang w:val="en-US"/>
              </w:rPr>
              <w:t>Excel 2010/2013</w:t>
            </w:r>
          </w:p>
          <w:p w:rsidR="00590E43" w:rsidRPr="00A61B6D" w:rsidRDefault="00590E43" w:rsidP="00A3735F">
            <w:pPr>
              <w:pStyle w:val="ProductList-Body"/>
              <w:rPr>
                <w:lang w:val="en-US"/>
              </w:rPr>
            </w:pPr>
            <w:r w:rsidRPr="00A61B6D">
              <w:rPr>
                <w:rFonts w:ascii="Segoe UI" w:hAnsi="Segoe UI"/>
                <w:color w:val="58595B" w:themeColor="text1"/>
                <w:szCs w:val="18"/>
                <w:lang w:val="en-US"/>
              </w:rPr>
              <w:t>PowerPoint 2010/2013</w:t>
            </w:r>
          </w:p>
          <w:p w:rsidR="00590E43" w:rsidRPr="00A61B6D" w:rsidRDefault="00590E43" w:rsidP="00A3735F">
            <w:pPr>
              <w:pStyle w:val="ProductList-Body"/>
              <w:rPr>
                <w:lang w:val="en-US"/>
              </w:rPr>
            </w:pPr>
            <w:r w:rsidRPr="00A61B6D">
              <w:rPr>
                <w:rFonts w:ascii="Segoe UI" w:hAnsi="Segoe UI"/>
                <w:color w:val="58595B" w:themeColor="text1"/>
                <w:szCs w:val="18"/>
                <w:lang w:val="en-US"/>
              </w:rPr>
              <w:t>InfoPath 2010/2013</w:t>
            </w:r>
          </w:p>
          <w:p w:rsidR="00840B46" w:rsidRPr="00A6721D" w:rsidRDefault="00840B46" w:rsidP="00A3735F">
            <w:pPr>
              <w:pStyle w:val="ProductList-Body"/>
              <w:rPr>
                <w:rFonts w:ascii="Segoe UI" w:hAnsi="Segoe UI"/>
                <w:color w:val="58595B" w:themeColor="text1"/>
                <w:szCs w:val="18"/>
                <w:lang w:val="en-US"/>
              </w:rPr>
            </w:pPr>
            <w:r w:rsidRPr="00A6721D">
              <w:rPr>
                <w:rFonts w:ascii="Segoe UI" w:hAnsi="Segoe UI"/>
                <w:color w:val="58595B" w:themeColor="text1"/>
                <w:szCs w:val="18"/>
                <w:lang w:val="en-US"/>
              </w:rPr>
              <w:t>Lync 2010/2013</w:t>
            </w:r>
          </w:p>
          <w:p w:rsidR="00590E43" w:rsidRPr="00CA772A" w:rsidRDefault="00590E43" w:rsidP="00A3735F">
            <w:pPr>
              <w:pStyle w:val="ProductList-Body"/>
            </w:pPr>
            <w:r>
              <w:rPr>
                <w:rFonts w:ascii="Segoe UI" w:hAnsi="Segoe UI"/>
                <w:color w:val="58595B" w:themeColor="text1"/>
                <w:szCs w:val="18"/>
              </w:rPr>
              <w:t>OneNote 2010/2013</w:t>
            </w:r>
          </w:p>
          <w:p w:rsidR="00590E43" w:rsidRPr="00CA772A" w:rsidRDefault="00590E43" w:rsidP="00A3735F">
            <w:pPr>
              <w:pStyle w:val="ProductList-Body"/>
            </w:pPr>
            <w:r>
              <w:rPr>
                <w:rFonts w:ascii="Segoe UI" w:hAnsi="Segoe UI"/>
                <w:color w:val="58595B" w:themeColor="text1"/>
                <w:szCs w:val="18"/>
              </w:rPr>
              <w:t>Outlook 2010/2013</w:t>
            </w:r>
          </w:p>
          <w:p w:rsidR="00590E43" w:rsidRPr="00CA772A" w:rsidRDefault="00590E43" w:rsidP="00A3735F">
            <w:pPr>
              <w:pStyle w:val="ProductList-Body"/>
            </w:pPr>
            <w:r>
              <w:rPr>
                <w:rFonts w:ascii="Segoe UI" w:hAnsi="Segoe UI"/>
                <w:color w:val="58595B" w:themeColor="text1"/>
                <w:szCs w:val="18"/>
              </w:rPr>
              <w:t>Publisher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rsidR="00590E43" w:rsidRPr="00643BFF" w:rsidRDefault="00590E43" w:rsidP="00A3735F">
            <w:pPr>
              <w:pStyle w:val="ProductList-Body"/>
              <w:rPr>
                <w:lang w:val="fr-FR"/>
              </w:rPr>
            </w:pPr>
            <w:r w:rsidRPr="00643BFF">
              <w:rPr>
                <w:rFonts w:ascii="Segoe UI" w:hAnsi="Segoe UI"/>
                <w:color w:val="58595B" w:themeColor="text1"/>
                <w:szCs w:val="18"/>
                <w:lang w:val="fr-FR"/>
              </w:rPr>
              <w:t>HUP per Office Professional Plus 2013</w:t>
            </w:r>
            <w:r>
              <w:fldChar w:fldCharType="begin"/>
            </w:r>
            <w:r w:rsidRPr="00643BFF">
              <w:rPr>
                <w:lang w:val="fr-FR"/>
              </w:rPr>
              <w:instrText>XE "Office Professional Plus 2013"</w:instrText>
            </w:r>
            <w:r>
              <w:fldChar w:fldCharType="end"/>
            </w:r>
            <w:r w:rsidRPr="00643BFF">
              <w:rPr>
                <w:rFonts w:ascii="Segoe UI" w:hAnsi="Segoe UI"/>
                <w:color w:val="58595B" w:themeColor="text1"/>
                <w:szCs w:val="18"/>
                <w:lang w:val="fr-FR"/>
              </w:rPr>
              <w:t xml:space="preserve"> o</w:t>
            </w:r>
          </w:p>
          <w:p w:rsidR="00590E43" w:rsidRPr="00A61B6D" w:rsidRDefault="00590E43" w:rsidP="00A3735F">
            <w:pPr>
              <w:pStyle w:val="ProductList-Body"/>
              <w:rPr>
                <w:rFonts w:ascii="Segoe UI" w:hAnsi="Segoe UI"/>
                <w:color w:val="58595B" w:themeColor="text1"/>
                <w:szCs w:val="18"/>
                <w:lang w:val="en-US"/>
              </w:rPr>
            </w:pPr>
            <w:r w:rsidRPr="00A61B6D">
              <w:rPr>
                <w:rFonts w:ascii="Segoe UI" w:hAnsi="Segoe UI"/>
                <w:color w:val="58595B" w:themeColor="text1"/>
                <w:szCs w:val="18"/>
                <w:lang w:val="en-US"/>
              </w:rPr>
              <w:t>HUP per Office per Mac Home &amp; Business 2011</w:t>
            </w:r>
          </w:p>
        </w:tc>
      </w:tr>
      <w:tr w:rsidR="00590E43" w:rsidRPr="00E23144" w:rsidTr="00092756">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 xml:space="preserve">Visio Standard 2010/2013 </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HUP per Visio Professional 2013</w:t>
            </w:r>
            <w:r>
              <w:fldChar w:fldCharType="begin"/>
            </w:r>
            <w:r>
              <w:instrText>XE "Visio Professional 2013"</w:instrText>
            </w:r>
            <w:r>
              <w:fldChar w:fldCharType="end"/>
            </w:r>
            <w:r>
              <w:rPr>
                <w:rFonts w:ascii="Segoe UI" w:hAnsi="Segoe UI"/>
                <w:color w:val="58595B" w:themeColor="text1"/>
                <w:szCs w:val="18"/>
              </w:rPr>
              <w:t xml:space="preserve"> </w:t>
            </w:r>
          </w:p>
        </w:tc>
      </w:tr>
      <w:tr w:rsidR="00590E43" w:rsidRPr="00E23144" w:rsidTr="00092756">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Project Standard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HUP per Project Professional 2013</w:t>
            </w:r>
            <w:r>
              <w:fldChar w:fldCharType="begin"/>
            </w:r>
            <w:r>
              <w:instrText>XE "Project Standard 2013"</w:instrText>
            </w:r>
            <w:r>
              <w:fldChar w:fldCharType="end"/>
            </w:r>
            <w:r>
              <w:rPr>
                <w:rFonts w:ascii="Segoe UI" w:hAnsi="Segoe UI"/>
                <w:color w:val="58595B" w:themeColor="text1"/>
                <w:szCs w:val="18"/>
              </w:rPr>
              <w:t xml:space="preserve"> </w:t>
            </w:r>
          </w:p>
        </w:tc>
      </w:tr>
    </w:tbl>
    <w:p w:rsidR="00590E43" w:rsidRPr="00826B3E" w:rsidRDefault="00590E43" w:rsidP="00590E43">
      <w:pPr>
        <w:pStyle w:val="ProductList-Body"/>
        <w:tabs>
          <w:tab w:val="clear" w:pos="158"/>
          <w:tab w:val="left" w:pos="180"/>
        </w:tabs>
        <w:rPr>
          <w:rFonts w:ascii="Segoe UI" w:hAnsi="Segoe UI"/>
          <w:color w:val="58595B" w:themeColor="text1"/>
          <w:szCs w:val="18"/>
        </w:rPr>
      </w:pPr>
      <w:r>
        <w:rPr>
          <w:rFonts w:ascii="Segoe UI" w:hAnsi="Segoe UI"/>
          <w:color w:val="58595B" w:themeColor="text1"/>
          <w:szCs w:val="18"/>
        </w:rPr>
        <w:t>Ulteriori informazioni, tra cui i dettagli relativi alla disponibilità futura del software aggiuntivo Home Use Program, sono reperibili all</w:t>
      </w:r>
      <w:r w:rsidR="00D1524D">
        <w:rPr>
          <w:rFonts w:ascii="Segoe UI" w:hAnsi="Segoe UI"/>
          <w:color w:val="58595B" w:themeColor="text1"/>
          <w:szCs w:val="18"/>
        </w:rPr>
        <w:t>’</w:t>
      </w:r>
      <w:r>
        <w:rPr>
          <w:rFonts w:ascii="Segoe UI" w:hAnsi="Segoe UI"/>
          <w:color w:val="58595B" w:themeColor="text1"/>
          <w:szCs w:val="18"/>
        </w:rPr>
        <w:t xml:space="preserve">indirizzo </w:t>
      </w:r>
      <w:hyperlink r:id="rId26" w:history="1">
        <w:r>
          <w:rPr>
            <w:rStyle w:val="Hyperlink"/>
            <w:rFonts w:ascii="Segoe UI" w:hAnsi="Segoe UI"/>
            <w:szCs w:val="18"/>
          </w:rPr>
          <w:t>http://www.microsoft.com/licensing</w:t>
        </w:r>
      </w:hyperlink>
      <w:r>
        <w:rPr>
          <w:rFonts w:ascii="Segoe UI" w:hAnsi="Segoe UI"/>
          <w:color w:val="58595B" w:themeColor="text1"/>
          <w:szCs w:val="18"/>
        </w:rPr>
        <w:t>.</w:t>
      </w:r>
      <w:r w:rsidR="00F659C4">
        <w:rPr>
          <w:rFonts w:ascii="Segoe UI" w:hAnsi="Segoe UI"/>
          <w:color w:val="58595B" w:themeColor="text1"/>
          <w:szCs w:val="18"/>
        </w:rPr>
        <w:t xml:space="preserve"> </w:t>
      </w:r>
      <w:r w:rsidRPr="00826B3E">
        <w:rPr>
          <w:rFonts w:ascii="Segoe UI" w:hAnsi="Segoe UI"/>
          <w:i/>
          <w:iCs/>
          <w:color w:val="58595B" w:themeColor="text1"/>
          <w:szCs w:val="18"/>
        </w:rPr>
        <w:t>La disponibilità di prodotti aggiuntivi tramite il programma Home Use Program potrà variare in base alla regione.</w:t>
      </w:r>
    </w:p>
    <w:p w:rsidR="00A019EE" w:rsidRPr="00CA772A" w:rsidRDefault="00A019EE" w:rsidP="009A7988">
      <w:pPr>
        <w:pStyle w:val="Heading2"/>
      </w:pPr>
      <w:bookmarkStart w:id="61" w:name="_Enterprise_Source_Licensing"/>
      <w:bookmarkStart w:id="62" w:name="_Toc379797448"/>
      <w:bookmarkStart w:id="63" w:name="_Toc380513484"/>
      <w:bookmarkStart w:id="64" w:name="_Toc380655534"/>
      <w:bookmarkStart w:id="65" w:name="_Toc394601030"/>
      <w:bookmarkStart w:id="66" w:name="_Toc403380312"/>
      <w:bookmarkStart w:id="67" w:name="_Toc416105623"/>
      <w:bookmarkEnd w:id="61"/>
      <w:r>
        <w:t>Enterprise Source Licensing Program</w:t>
      </w:r>
      <w:bookmarkEnd w:id="62"/>
      <w:bookmarkEnd w:id="63"/>
      <w:bookmarkEnd w:id="64"/>
      <w:bookmarkEnd w:id="65"/>
      <w:bookmarkEnd w:id="66"/>
      <w:bookmarkEnd w:id="67"/>
      <w:r>
        <w:t xml:space="preserve"> </w:t>
      </w:r>
    </w:p>
    <w:p w:rsidR="00A019EE" w:rsidRPr="00CA772A" w:rsidRDefault="00623302" w:rsidP="00A019EE">
      <w:pPr>
        <w:pStyle w:val="ProductList-Body"/>
      </w:pPr>
      <w:r>
        <w:rPr>
          <w:rFonts w:ascii="Segoe UI" w:hAnsi="Segoe UI"/>
          <w:color w:val="58595B" w:themeColor="text1"/>
          <w:szCs w:val="18"/>
        </w:rPr>
        <w:t>Quando l</w:t>
      </w:r>
      <w:r w:rsidR="00D1524D">
        <w:rPr>
          <w:rFonts w:ascii="Segoe UI" w:hAnsi="Segoe UI"/>
          <w:color w:val="58595B" w:themeColor="text1"/>
          <w:szCs w:val="18"/>
        </w:rPr>
        <w:t>’</w:t>
      </w:r>
      <w:r>
        <w:rPr>
          <w:rFonts w:ascii="Segoe UI" w:hAnsi="Segoe UI"/>
          <w:color w:val="58595B" w:themeColor="text1"/>
          <w:szCs w:val="18"/>
        </w:rPr>
        <w:t>Account per gli Acquisti della società ha 10.000 o una quantità superiore di licenze con copertura SA nel pool Sistemi, la società potrà essere idonea a partecipare al programma Enterprise Source Licensing Program (ESLP), che fornisce l</w:t>
      </w:r>
      <w:r w:rsidR="00D1524D">
        <w:rPr>
          <w:rFonts w:ascii="Segoe UI" w:hAnsi="Segoe UI"/>
          <w:color w:val="58595B" w:themeColor="text1"/>
          <w:szCs w:val="18"/>
        </w:rPr>
        <w:t>’</w:t>
      </w:r>
      <w:r>
        <w:rPr>
          <w:rFonts w:ascii="Segoe UI" w:hAnsi="Segoe UI"/>
          <w:color w:val="58595B" w:themeColor="text1"/>
          <w:szCs w:val="18"/>
        </w:rPr>
        <w:t>accesso al codice sorgente di Microsoft Windows per lo sviluppo e il supporto interni ed è concesso per ogni Account per gli Acquisti.</w:t>
      </w:r>
      <w:r w:rsidR="00F659C4">
        <w:rPr>
          <w:rFonts w:ascii="Segoe UI" w:hAnsi="Segoe UI"/>
          <w:color w:val="58595B" w:themeColor="text1"/>
          <w:szCs w:val="18"/>
        </w:rPr>
        <w:t xml:space="preserve"> </w:t>
      </w:r>
      <w:r>
        <w:rPr>
          <w:rFonts w:ascii="Segoe UI" w:hAnsi="Segoe UI"/>
          <w:color w:val="58595B" w:themeColor="text1"/>
          <w:szCs w:val="18"/>
        </w:rPr>
        <w:t>Per ulteriori dettagli sull</w:t>
      </w:r>
      <w:r w:rsidR="00D1524D">
        <w:rPr>
          <w:rFonts w:ascii="Segoe UI" w:hAnsi="Segoe UI"/>
          <w:color w:val="58595B" w:themeColor="text1"/>
          <w:szCs w:val="18"/>
        </w:rPr>
        <w:t>’</w:t>
      </w:r>
      <w:r>
        <w:rPr>
          <w:rFonts w:ascii="Segoe UI" w:hAnsi="Segoe UI"/>
          <w:color w:val="58595B" w:themeColor="text1"/>
          <w:szCs w:val="18"/>
        </w:rPr>
        <w:t>idoneità e la disponibilità per Paese, la società potrà visitare la pagina</w:t>
      </w:r>
      <w:r>
        <w:t xml:space="preserve"> </w:t>
      </w:r>
      <w:hyperlink r:id="rId27" w:history="1">
        <w:r>
          <w:rPr>
            <w:rStyle w:val="Hyperlink"/>
          </w:rPr>
          <w:t>http://www.microsoft.com/en-us/sharedsource/enterprise-source-licensing-program.aspx</w:t>
        </w:r>
      </w:hyperlink>
      <w:r>
        <w:t>.</w:t>
      </w:r>
      <w:r>
        <w:rPr>
          <w:strike/>
        </w:rPr>
        <w:t xml:space="preserve"> </w:t>
      </w:r>
    </w:p>
    <w:p w:rsidR="00633DBA" w:rsidRPr="00CA772A" w:rsidRDefault="00633DBA" w:rsidP="009A7988">
      <w:pPr>
        <w:pStyle w:val="Heading2"/>
      </w:pPr>
      <w:bookmarkStart w:id="68" w:name="_24x7_Problem_Resolution"/>
      <w:bookmarkStart w:id="69" w:name="__System_Center"/>
      <w:bookmarkStart w:id="70" w:name="__System_Center_1"/>
      <w:bookmarkStart w:id="71" w:name="_System_Center_Global"/>
      <w:bookmarkStart w:id="72" w:name="_Toc379797450"/>
      <w:bookmarkStart w:id="73" w:name="_Toc380513486"/>
      <w:bookmarkStart w:id="74" w:name="_Toc380655536"/>
      <w:bookmarkStart w:id="75" w:name="_Toc394601032"/>
      <w:bookmarkStart w:id="76" w:name="_Toc403380313"/>
      <w:bookmarkStart w:id="77" w:name="_Toc416105624"/>
      <w:bookmarkStart w:id="78" w:name="_Toc336338239"/>
      <w:bookmarkEnd w:id="68"/>
      <w:bookmarkEnd w:id="69"/>
      <w:bookmarkEnd w:id="70"/>
      <w:bookmarkEnd w:id="71"/>
      <w:r>
        <w:t>System Center Global Service Monitor</w:t>
      </w:r>
      <w:bookmarkEnd w:id="72"/>
      <w:bookmarkEnd w:id="73"/>
      <w:bookmarkEnd w:id="74"/>
      <w:bookmarkEnd w:id="75"/>
      <w:bookmarkEnd w:id="76"/>
      <w:bookmarkEnd w:id="77"/>
    </w:p>
    <w:p w:rsidR="00633DBA" w:rsidRPr="00CA772A" w:rsidRDefault="00623302" w:rsidP="00633DBA">
      <w:pPr>
        <w:pStyle w:val="ProductList-Body"/>
      </w:pPr>
      <w:r>
        <w:rPr>
          <w:rFonts w:ascii="Segoe UI" w:hAnsi="Segoe UI"/>
          <w:color w:val="58595B" w:themeColor="text1"/>
          <w:szCs w:val="18"/>
        </w:rPr>
        <w:t>Qualora la società disponga di una copertura SA attiva per le Licenze di Gestione indicate nella tabella che segue, è idonea a utilizzare System Center Global Service Monitor per monitorare le applicazioni Web in esecuzione sugli OSE ottenuti in licenza con le Licenze di Gestione.</w:t>
      </w:r>
      <w:r w:rsidR="00F659C4">
        <w:rPr>
          <w:rFonts w:ascii="Segoe UI" w:hAnsi="Segoe UI"/>
          <w:color w:val="58595B" w:themeColor="text1"/>
          <w:szCs w:val="18"/>
        </w:rPr>
        <w:t xml:space="preserve"> </w:t>
      </w:r>
      <w:r>
        <w:rPr>
          <w:rFonts w:ascii="Segoe UI" w:hAnsi="Segoe UI"/>
          <w:color w:val="58595B" w:themeColor="text1"/>
          <w:szCs w:val="18"/>
        </w:rPr>
        <w:t>L</w:t>
      </w:r>
      <w:r w:rsidR="00D1524D">
        <w:rPr>
          <w:rFonts w:ascii="Segoe UI" w:hAnsi="Segoe UI"/>
          <w:color w:val="58595B" w:themeColor="text1"/>
          <w:szCs w:val="18"/>
        </w:rPr>
        <w:t>’</w:t>
      </w:r>
      <w:r>
        <w:rPr>
          <w:rFonts w:ascii="Segoe UI" w:hAnsi="Segoe UI"/>
          <w:color w:val="58595B" w:themeColor="text1"/>
          <w:szCs w:val="18"/>
        </w:rPr>
        <w:t>utilizzo di tale servizio online è soggetto alle Condizioni per l</w:t>
      </w:r>
      <w:r w:rsidR="00D1524D">
        <w:rPr>
          <w:rFonts w:ascii="Segoe UI" w:hAnsi="Segoe UI"/>
          <w:color w:val="58595B" w:themeColor="text1"/>
          <w:szCs w:val="18"/>
        </w:rPr>
        <w:t>’</w:t>
      </w:r>
      <w:r>
        <w:rPr>
          <w:rFonts w:ascii="Segoe UI" w:hAnsi="Segoe UI"/>
          <w:color w:val="58595B" w:themeColor="text1"/>
          <w:szCs w:val="18"/>
        </w:rPr>
        <w:t>Utilizzo dei Servizi Online e alle condizioni di licenza di seguito riportate. Nell</w:t>
      </w:r>
      <w:r w:rsidR="00D1524D">
        <w:rPr>
          <w:rFonts w:ascii="Segoe UI" w:hAnsi="Segoe UI"/>
          <w:color w:val="58595B" w:themeColor="text1"/>
          <w:szCs w:val="18"/>
        </w:rPr>
        <w:t>’</w:t>
      </w:r>
      <w:r>
        <w:rPr>
          <w:rFonts w:ascii="Segoe UI" w:hAnsi="Segoe UI"/>
          <w:color w:val="58595B" w:themeColor="text1"/>
          <w:szCs w:val="18"/>
        </w:rPr>
        <w:t>eventualità di una discrepanza tra le Condizioni per l</w:t>
      </w:r>
      <w:r w:rsidR="00D1524D">
        <w:rPr>
          <w:rFonts w:ascii="Segoe UI" w:hAnsi="Segoe UI"/>
          <w:color w:val="58595B" w:themeColor="text1"/>
          <w:szCs w:val="18"/>
        </w:rPr>
        <w:t>’</w:t>
      </w:r>
      <w:r>
        <w:rPr>
          <w:rFonts w:ascii="Segoe UI" w:hAnsi="Segoe UI"/>
          <w:color w:val="58595B" w:themeColor="text1"/>
          <w:szCs w:val="18"/>
        </w:rPr>
        <w:t>Utilizzo dei Servizi Online e le condizioni di licenza di seguito riportate, queste ultime avranno prevalenza. Il diritto di utilizzare il servizio online scadrà alla scadenza della copertura SA per la Licenze di Gestione.</w:t>
      </w:r>
    </w:p>
    <w:p w:rsidR="00A6721D" w:rsidRPr="00CC75CC" w:rsidRDefault="00A6721D" w:rsidP="00633DBA">
      <w:pPr>
        <w:pStyle w:val="ProductList-Body"/>
        <w:rPr>
          <w:sz w:val="16"/>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60"/>
      </w:tblGrid>
      <w:tr w:rsidR="00633DBA" w:rsidRPr="00E23144" w:rsidTr="00CC75CC">
        <w:trPr>
          <w:tblHeader/>
        </w:trPr>
        <w:tc>
          <w:tcPr>
            <w:tcW w:w="4860"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633DBA" w:rsidRPr="002123CF" w:rsidRDefault="00633DBA" w:rsidP="002123CF">
            <w:pPr>
              <w:pStyle w:val="ProductList-Body"/>
              <w:rPr>
                <w:rFonts w:ascii="Segoe UI" w:hAnsi="Segoe UI"/>
                <w:color w:val="58595B" w:themeColor="text1"/>
                <w:szCs w:val="18"/>
              </w:rPr>
            </w:pPr>
            <w:r>
              <w:rPr>
                <w:rFonts w:ascii="Segoe UI" w:hAnsi="Segoe UI"/>
                <w:color w:val="FFFFFF" w:themeColor="background1"/>
                <w:szCs w:val="18"/>
              </w:rPr>
              <w:t>Licenze di Gestione Qualificanti</w:t>
            </w:r>
          </w:p>
        </w:tc>
      </w:tr>
      <w:tr w:rsidR="00633DBA" w:rsidRPr="00E23144" w:rsidTr="00CC75CC">
        <w:tc>
          <w:tcPr>
            <w:tcW w:w="486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Licenza di Gestione Server per System Center Datacenter</w:t>
            </w:r>
          </w:p>
        </w:tc>
      </w:tr>
      <w:tr w:rsidR="00633DBA" w:rsidRPr="00E23144" w:rsidTr="00CC75CC">
        <w:tc>
          <w:tcPr>
            <w:tcW w:w="486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Licenza di Gestione Server per System Center Standard</w:t>
            </w:r>
          </w:p>
        </w:tc>
      </w:tr>
    </w:tbl>
    <w:p w:rsidR="0030462C" w:rsidRPr="00CC75CC" w:rsidRDefault="0030462C" w:rsidP="0030462C">
      <w:pPr>
        <w:spacing w:line="240" w:lineRule="auto"/>
        <w:rPr>
          <w:sz w:val="12"/>
        </w:rPr>
      </w:pPr>
      <w:bookmarkStart w:id="79" w:name="_Back-up_for_Disaster"/>
      <w:bookmarkStart w:id="80" w:name="_Toc372892146"/>
      <w:bookmarkStart w:id="81" w:name="_Toc379797451"/>
      <w:bookmarkStart w:id="82" w:name="_Toc380513487"/>
      <w:bookmarkStart w:id="83" w:name="_Toc380655537"/>
      <w:bookmarkStart w:id="84" w:name="_Toc394601033"/>
      <w:bookmarkEnd w:id="79"/>
    </w:p>
    <w:p w:rsidR="0030462C" w:rsidRPr="00CA772A" w:rsidRDefault="0030462C" w:rsidP="00D22A53">
      <w:pPr>
        <w:pStyle w:val="ProductList-Body"/>
      </w:pPr>
      <w:r>
        <w:rPr>
          <w:rFonts w:ascii="Segoe UI" w:hAnsi="Segoe UI"/>
          <w:color w:val="58595B" w:themeColor="text1"/>
          <w:szCs w:val="18"/>
        </w:rPr>
        <w:t>I dati dei risultati dei test generati da test attivi verranno archiviati nel servizio online fino a quando la distribuzione di System Center 2012 R2 Operations Manager non raccoglierà i risultati dei test.</w:t>
      </w:r>
      <w:r w:rsidR="00F659C4">
        <w:rPr>
          <w:rFonts w:ascii="Segoe UI" w:hAnsi="Segoe UI"/>
          <w:color w:val="58595B" w:themeColor="text1"/>
          <w:szCs w:val="18"/>
        </w:rPr>
        <w:t xml:space="preserve"> </w:t>
      </w:r>
      <w:r>
        <w:rPr>
          <w:rFonts w:ascii="Segoe UI" w:hAnsi="Segoe UI"/>
          <w:color w:val="58595B" w:themeColor="text1"/>
          <w:szCs w:val="18"/>
        </w:rPr>
        <w:t>Qualora System Center 2012 R2 Operations Manager non raccolga i risultati dei test entro sette giorni, i risultati generati dai test verranno eliminati dal servizio online.</w:t>
      </w:r>
    </w:p>
    <w:p w:rsidR="0030462C" w:rsidRPr="00CA772A" w:rsidRDefault="0030462C" w:rsidP="00D22A53">
      <w:pPr>
        <w:pStyle w:val="ProductList-Body"/>
      </w:pPr>
    </w:p>
    <w:p w:rsidR="0030462C" w:rsidRPr="00CA772A" w:rsidRDefault="0030462C" w:rsidP="00D22A53">
      <w:pPr>
        <w:pStyle w:val="ProductList-Body"/>
      </w:pPr>
      <w:r>
        <w:rPr>
          <w:rFonts w:ascii="Segoe UI" w:hAnsi="Segoe UI"/>
          <w:color w:val="58595B" w:themeColor="text1"/>
          <w:szCs w:val="18"/>
        </w:rPr>
        <w:t>Qualora la società fornisca commenti a Microsoft, concederà alla stessa, a titolo gratuito, il diritto di utilizzare, divulgare e commercializzare tali commenti in qualsiasi modo e per qualsiasi scopo. La società conferisce anche a terzi, senza alcun costo aggiuntivo, eventuali diritti relativi a brevetti necessari per i loro prodotti, tecnologie e servizi per utilizzare o interfacciarsi con componenti specifici di un software o Servizio Microsoft che includa i commenti. La società accetta di non fornire commenti soggetti a una licenza che obblighi Microsoft a concedere in licenza software o documentazione a terzi in virtù del fatto che Microsoft abbia incluso in essi i commenti della società.</w:t>
      </w:r>
    </w:p>
    <w:p w:rsidR="00633DBA" w:rsidRPr="00CA772A" w:rsidRDefault="00633DBA" w:rsidP="009A7988">
      <w:pPr>
        <w:pStyle w:val="Heading2"/>
      </w:pPr>
      <w:bookmarkStart w:id="85" w:name="_Backup_per_Ripristino"/>
      <w:bookmarkStart w:id="86" w:name="_Toc403380314"/>
      <w:bookmarkStart w:id="87" w:name="_Toc416105625"/>
      <w:bookmarkEnd w:id="85"/>
      <w:r>
        <w:t>Backup per Ripristino di Emergenza</w:t>
      </w:r>
      <w:bookmarkEnd w:id="78"/>
      <w:bookmarkEnd w:id="80"/>
      <w:bookmarkEnd w:id="81"/>
      <w:bookmarkEnd w:id="82"/>
      <w:bookmarkEnd w:id="83"/>
      <w:bookmarkEnd w:id="84"/>
      <w:bookmarkEnd w:id="86"/>
      <w:bookmarkEnd w:id="87"/>
      <w:r>
        <w:t xml:space="preserve"> </w:t>
      </w:r>
    </w:p>
    <w:p w:rsidR="00633DBA" w:rsidRPr="00CA772A" w:rsidRDefault="00623302" w:rsidP="002123CF">
      <w:r>
        <w:rPr>
          <w:color w:val="58595B" w:themeColor="text1"/>
          <w:szCs w:val="18"/>
        </w:rPr>
        <w:t>Qualora la società disponga della copertura SA per i prodotti Server e relative CAL, è idonea a ricevere licenze Server gratuite per tali prodotti a fini del ripristino di emergenza.</w:t>
      </w:r>
      <w:r w:rsidR="00F659C4">
        <w:rPr>
          <w:color w:val="58595B" w:themeColor="text1"/>
          <w:szCs w:val="18"/>
        </w:rPr>
        <w:t xml:space="preserve"> </w:t>
      </w:r>
      <w:r>
        <w:rPr>
          <w:color w:val="58595B" w:themeColor="text1"/>
          <w:szCs w:val="18"/>
        </w:rPr>
        <w:t xml:space="preserve">La società potrà fare riferimento anche alla pagina </w:t>
      </w:r>
      <w:hyperlink r:id="rId28" w:anchor="tab=4" w:history="1">
        <w:r>
          <w:rPr>
            <w:rStyle w:val="Hyperlink"/>
          </w:rPr>
          <w:t>http://www.microsoft.com/licensing/software-assurance/by-benefits.aspx#tab=4</w:t>
        </w:r>
      </w:hyperlink>
      <w:r>
        <w:rPr>
          <w:color w:val="1F497D"/>
        </w:rPr>
        <w:t>.</w:t>
      </w:r>
    </w:p>
    <w:p w:rsidR="00633DBA" w:rsidRPr="00CA772A" w:rsidRDefault="00633DBA" w:rsidP="009A7988">
      <w:pPr>
        <w:pStyle w:val="Heading2"/>
      </w:pPr>
      <w:bookmarkStart w:id="88" w:name="_License_Mobility_through"/>
      <w:bookmarkStart w:id="89" w:name="_Mobilità_delle_Licenze"/>
      <w:bookmarkStart w:id="90" w:name="_Toc336338242"/>
      <w:bookmarkStart w:id="91" w:name="_Toc372892149"/>
      <w:bookmarkStart w:id="92" w:name="_Toc403380315"/>
      <w:bookmarkStart w:id="93" w:name="_Toc416105626"/>
      <w:bookmarkEnd w:id="88"/>
      <w:bookmarkEnd w:id="89"/>
      <w:r>
        <w:t>Mobilità delle Licenze tramite Software Assurance</w:t>
      </w:r>
      <w:bookmarkEnd w:id="90"/>
      <w:bookmarkEnd w:id="91"/>
      <w:bookmarkEnd w:id="92"/>
      <w:bookmarkEnd w:id="93"/>
    </w:p>
    <w:p w:rsidR="00633DBA" w:rsidRPr="00CA772A" w:rsidRDefault="00633DBA" w:rsidP="00633DBA">
      <w:pPr>
        <w:pStyle w:val="ProductList-Body"/>
      </w:pPr>
      <w:r>
        <w:rPr>
          <w:rFonts w:ascii="Segoe UI" w:hAnsi="Segoe UI"/>
          <w:color w:val="58595B" w:themeColor="text1"/>
          <w:szCs w:val="18"/>
        </w:rPr>
        <w:t xml:space="preserve">Mobilità delle Licenze tramite SA consente alla società di spostare determinate licenze locali con copertura SA su server condivisi di terzi. Tutti i Prodotti attualmente idonei per </w:t>
      </w:r>
      <w:r w:rsidR="00F16F17">
        <w:rPr>
          <w:rFonts w:ascii="Segoe UI" w:hAnsi="Segoe UI"/>
          <w:color w:val="58595B" w:themeColor="text1"/>
          <w:szCs w:val="18"/>
        </w:rPr>
        <w:t>“</w:t>
      </w:r>
      <w:r>
        <w:rPr>
          <w:rFonts w:ascii="Segoe UI" w:hAnsi="Segoe UI"/>
          <w:color w:val="58595B" w:themeColor="text1"/>
          <w:szCs w:val="18"/>
        </w:rPr>
        <w:t>Mobilità delle Licenze all</w:t>
      </w:r>
      <w:r w:rsidR="00D1524D">
        <w:rPr>
          <w:rFonts w:ascii="Segoe UI" w:hAnsi="Segoe UI"/>
          <w:color w:val="58595B" w:themeColor="text1"/>
          <w:szCs w:val="18"/>
        </w:rPr>
        <w:t>’</w:t>
      </w:r>
      <w:r>
        <w:rPr>
          <w:rFonts w:ascii="Segoe UI" w:hAnsi="Segoe UI"/>
          <w:color w:val="58595B" w:themeColor="text1"/>
          <w:szCs w:val="18"/>
        </w:rPr>
        <w:t>interno di Server Farm</w:t>
      </w:r>
      <w:r w:rsidR="00F16F17">
        <w:rPr>
          <w:rFonts w:ascii="Segoe UI" w:hAnsi="Segoe UI"/>
          <w:color w:val="58595B" w:themeColor="text1"/>
          <w:szCs w:val="18"/>
        </w:rPr>
        <w:t>”</w:t>
      </w:r>
      <w:r>
        <w:rPr>
          <w:rFonts w:ascii="Segoe UI" w:hAnsi="Segoe UI"/>
          <w:color w:val="58595B" w:themeColor="text1"/>
          <w:szCs w:val="18"/>
        </w:rPr>
        <w:t xml:space="preserve"> in base a quanto definito nei Diritti di Utilizzo del Prodotto e con copertura SA sono idonei per Mobilità delle Licenze tramite SA. Sono inoltre idonei per Mobilità delle Licenze tramite SA anche i seguenti Prodotti:</w:t>
      </w:r>
    </w:p>
    <w:p w:rsidR="00633DBA" w:rsidRPr="00CA772A" w:rsidRDefault="00633DBA" w:rsidP="007B5219">
      <w:pPr>
        <w:pStyle w:val="BodyText"/>
        <w:numPr>
          <w:ilvl w:val="0"/>
          <w:numId w:val="16"/>
        </w:numPr>
        <w:spacing w:after="0"/>
      </w:pPr>
      <w:r>
        <w:t>System Center - tutte le Licenze di Gestione Server (ML), incluse SMSE e SMSD con SA e System Center 2012 Standard</w:t>
      </w:r>
      <w:r>
        <w:fldChar w:fldCharType="begin"/>
      </w:r>
      <w:r>
        <w:instrText>XE "System Center 2012 Standard"</w:instrText>
      </w:r>
      <w:r>
        <w:fldChar w:fldCharType="end"/>
      </w:r>
      <w:r>
        <w:t xml:space="preserve"> e Datacenter con SA.</w:t>
      </w:r>
    </w:p>
    <w:p w:rsidR="00633DBA" w:rsidRPr="00CA772A" w:rsidRDefault="00633DBA" w:rsidP="007B5219">
      <w:pPr>
        <w:pStyle w:val="BodyText"/>
        <w:numPr>
          <w:ilvl w:val="0"/>
          <w:numId w:val="16"/>
        </w:numPr>
        <w:spacing w:after="0"/>
      </w:pPr>
      <w:r>
        <w:t>Per utilizzare Mobilità delle Licenze tramite SA, la società dovrà:</w:t>
      </w:r>
    </w:p>
    <w:p w:rsidR="00E23144" w:rsidRPr="00CA772A" w:rsidRDefault="00633DBA" w:rsidP="007B5219">
      <w:pPr>
        <w:pStyle w:val="BodyText"/>
        <w:numPr>
          <w:ilvl w:val="1"/>
          <w:numId w:val="16"/>
        </w:numPr>
        <w:spacing w:after="0"/>
        <w:ind w:left="720" w:hanging="288"/>
      </w:pPr>
      <w:r>
        <w:t>gestire la copertura SA per le licenze ai sensi delle quali esegue software o gestisce ambienti di sistemi operativi su server di terzi condivisi, nonché tutte le CAL, le licenze External Connector e licenze di gestione corrispondenti;</w:t>
      </w:r>
    </w:p>
    <w:p w:rsidR="00633DBA" w:rsidRPr="00CA772A" w:rsidRDefault="00633DBA" w:rsidP="007B5219">
      <w:pPr>
        <w:pStyle w:val="BodyText"/>
        <w:numPr>
          <w:ilvl w:val="1"/>
          <w:numId w:val="16"/>
        </w:numPr>
        <w:spacing w:after="0"/>
        <w:ind w:left="720" w:hanging="288"/>
      </w:pPr>
      <w:r>
        <w:t xml:space="preserve">distribuire le proprie licenze solo con Partner qualificati di Mobilità delle Licenze tramite Software Assurance (informazioni sono disponibili alla pagina </w:t>
      </w:r>
      <w:hyperlink r:id="rId29" w:history="1">
        <w:r>
          <w:rPr>
            <w:rStyle w:val="Hyperlink"/>
            <w:szCs w:val="18"/>
          </w:rPr>
          <w:t>http://www.microsoft.com/licensing/software-assurance/license-mobility.aspx</w:t>
        </w:r>
      </w:hyperlink>
      <w:r>
        <w:rPr>
          <w:color w:val="58595B" w:themeColor="text1"/>
          <w:szCs w:val="18"/>
        </w:rPr>
        <w:t xml:space="preserve">) </w:t>
      </w:r>
    </w:p>
    <w:p w:rsidR="00633DBA" w:rsidRPr="00CA772A" w:rsidRDefault="00633DBA" w:rsidP="007B5219">
      <w:pPr>
        <w:pStyle w:val="BodyText"/>
        <w:numPr>
          <w:ilvl w:val="1"/>
          <w:numId w:val="16"/>
        </w:numPr>
        <w:spacing w:after="0"/>
        <w:ind w:left="720" w:hanging="288"/>
      </w:pPr>
      <w:r>
        <w:t>completare e inviare il modulo per la Convalida della Mobilità delle Licenze con ciascun Partner di Mobilità delle Licenze tramite Software Assurance che eseguirà il software con licenza sui suoi server condivisi.</w:t>
      </w:r>
      <w:r w:rsidR="00F659C4">
        <w:t xml:space="preserve"> </w:t>
      </w:r>
      <w:r>
        <w:t>Il modulo per la Convalida di Mobilità delle Licenze sarà fornito alla società dal Partner qualificato in possesso di Mobilità delle Licenze tramite Software Assurance.</w:t>
      </w:r>
    </w:p>
    <w:p w:rsidR="00633DBA" w:rsidRPr="00CA772A" w:rsidRDefault="00633DBA" w:rsidP="009A7988">
      <w:pPr>
        <w:pStyle w:val="Heading2"/>
      </w:pPr>
      <w:bookmarkStart w:id="94" w:name="_Windows_Thin_PC"/>
      <w:bookmarkStart w:id="95" w:name="_Toc336338243"/>
      <w:bookmarkStart w:id="96" w:name="_Toc372892150"/>
      <w:bookmarkStart w:id="97" w:name="_Toc379797454"/>
      <w:bookmarkStart w:id="98" w:name="_Toc380513490"/>
      <w:bookmarkStart w:id="99" w:name="_Toc380655539"/>
      <w:bookmarkStart w:id="100" w:name="_Toc394601035"/>
      <w:bookmarkStart w:id="101" w:name="_Toc403380316"/>
      <w:bookmarkStart w:id="102" w:name="_Toc416105627"/>
      <w:bookmarkEnd w:id="94"/>
      <w:r>
        <w:t>Windows Thin PC</w:t>
      </w:r>
      <w:bookmarkEnd w:id="95"/>
      <w:bookmarkEnd w:id="96"/>
      <w:bookmarkEnd w:id="97"/>
      <w:bookmarkEnd w:id="98"/>
      <w:bookmarkEnd w:id="99"/>
      <w:bookmarkEnd w:id="100"/>
      <w:bookmarkEnd w:id="101"/>
      <w:bookmarkEnd w:id="102"/>
    </w:p>
    <w:p w:rsidR="001028FA" w:rsidRPr="00CA772A" w:rsidRDefault="00623302" w:rsidP="00633DBA">
      <w:pPr>
        <w:pStyle w:val="ProductList-Body"/>
      </w:pPr>
      <w:r>
        <w:rPr>
          <w:rFonts w:ascii="Segoe UI" w:hAnsi="Segoe UI"/>
          <w:color w:val="58595B" w:themeColor="text1"/>
          <w:szCs w:val="18"/>
        </w:rPr>
        <w:t>Qualora la società disponga di una copertura SA attiva per il sistema operativo desktop Windows o di licenze attive per VDA, è idonea a ricevere questo vantaggio.</w:t>
      </w:r>
      <w:r w:rsidR="00F659C4">
        <w:rPr>
          <w:rFonts w:ascii="Segoe UI" w:hAnsi="Segoe UI"/>
          <w:color w:val="58595B" w:themeColor="text1"/>
          <w:szCs w:val="18"/>
        </w:rPr>
        <w:t xml:space="preserve"> </w:t>
      </w:r>
      <w:r>
        <w:rPr>
          <w:rFonts w:ascii="Segoe UI" w:hAnsi="Segoe UI"/>
          <w:color w:val="58595B" w:themeColor="text1"/>
          <w:szCs w:val="18"/>
        </w:rPr>
        <w:t>La società che accede a questo vantaggio ai sensi del VDA dovrà disporre di un sistema operativo qualificante installato sul dispositivo con licenza in base alla tabella Sistemi Operativi Qualificanti che segue:</w:t>
      </w:r>
    </w:p>
    <w:p w:rsidR="001028FA" w:rsidRPr="00CA772A" w:rsidRDefault="001028FA" w:rsidP="00633DBA">
      <w:pPr>
        <w:pStyle w:val="ProductList-Body"/>
      </w:pPr>
    </w:p>
    <w:tbl>
      <w:tblPr>
        <w:tblW w:w="432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5"/>
      </w:tblGrid>
      <w:tr w:rsidR="001028FA" w:rsidRPr="00226F00" w:rsidTr="001028FA">
        <w:trPr>
          <w:trHeight w:val="255"/>
        </w:trPr>
        <w:tc>
          <w:tcPr>
            <w:tcW w:w="4325" w:type="dxa"/>
            <w:noWrap/>
            <w:tcMar>
              <w:top w:w="0" w:type="dxa"/>
              <w:left w:w="108" w:type="dxa"/>
              <w:bottom w:w="0" w:type="dxa"/>
              <w:right w:w="108" w:type="dxa"/>
            </w:tcMar>
            <w:vAlign w:val="center"/>
            <w:hideMark/>
          </w:tcPr>
          <w:p w:rsidR="001028FA" w:rsidRPr="00A61B6D" w:rsidRDefault="001028FA">
            <w:pPr>
              <w:pStyle w:val="ProductList-Body"/>
              <w:spacing w:line="252" w:lineRule="auto"/>
              <w:rPr>
                <w:rFonts w:ascii="Segoe UI" w:hAnsi="Segoe UI"/>
                <w:color w:val="58595B" w:themeColor="text1"/>
                <w:szCs w:val="18"/>
                <w:lang w:val="en-US"/>
              </w:rPr>
            </w:pPr>
            <w:r w:rsidRPr="00A61B6D">
              <w:rPr>
                <w:rFonts w:ascii="Segoe UI" w:hAnsi="Segoe UI"/>
                <w:szCs w:val="18"/>
                <w:lang w:val="en-US"/>
              </w:rPr>
              <w:t>Windows 8 e Windows 8.1 (32 bit o 64 bit)</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 (N, K, KN, senza dischi)</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7 (32 bit o 64 bit)</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Professional (N, K, KN, senza dischi)</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RPr="00226F00" w:rsidTr="001028FA">
        <w:trPr>
          <w:trHeight w:val="255"/>
        </w:trPr>
        <w:tc>
          <w:tcPr>
            <w:tcW w:w="4325" w:type="dxa"/>
            <w:noWrap/>
            <w:tcMar>
              <w:top w:w="0" w:type="dxa"/>
              <w:left w:w="108" w:type="dxa"/>
              <w:bottom w:w="0" w:type="dxa"/>
              <w:right w:w="108" w:type="dxa"/>
            </w:tcMar>
            <w:vAlign w:val="center"/>
            <w:hideMark/>
          </w:tcPr>
          <w:p w:rsidR="001028FA" w:rsidRPr="00A61B6D" w:rsidRDefault="001028FA">
            <w:pPr>
              <w:pStyle w:val="ProductList-Body"/>
              <w:spacing w:line="252" w:lineRule="auto"/>
              <w:rPr>
                <w:rFonts w:ascii="Segoe UI" w:hAnsi="Segoe UI"/>
                <w:color w:val="58595B" w:themeColor="text1"/>
                <w:szCs w:val="18"/>
                <w:lang w:val="pt-BR"/>
              </w:rPr>
            </w:pPr>
            <w:r w:rsidRPr="00A61B6D">
              <w:rPr>
                <w:rFonts w:ascii="Segoe UI" w:hAnsi="Segoe UI"/>
                <w:szCs w:val="18"/>
                <w:lang w:val="pt-BR"/>
              </w:rPr>
              <w:t>Windows Vista (32 bit o 64 bit)</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RPr="00226F00" w:rsidTr="001028FA">
        <w:trPr>
          <w:trHeight w:val="255"/>
        </w:trPr>
        <w:tc>
          <w:tcPr>
            <w:tcW w:w="4325" w:type="dxa"/>
            <w:noWrap/>
            <w:tcMar>
              <w:top w:w="0" w:type="dxa"/>
              <w:left w:w="108" w:type="dxa"/>
              <w:bottom w:w="0" w:type="dxa"/>
              <w:right w:w="108" w:type="dxa"/>
            </w:tcMar>
            <w:vAlign w:val="bottom"/>
            <w:hideMark/>
          </w:tcPr>
          <w:p w:rsidR="001028FA" w:rsidRPr="00226F00" w:rsidRDefault="001028FA">
            <w:pPr>
              <w:pStyle w:val="ProductList-Body"/>
              <w:spacing w:line="252" w:lineRule="auto"/>
              <w:ind w:left="162"/>
              <w:rPr>
                <w:rFonts w:ascii="Segoe UI" w:hAnsi="Segoe UI"/>
                <w:color w:val="9A9B9D" w:themeColor="text1" w:themeTint="99"/>
                <w:szCs w:val="18"/>
                <w:lang w:val="en-US"/>
              </w:rPr>
            </w:pPr>
            <w:r w:rsidRPr="00226F00">
              <w:rPr>
                <w:rFonts w:ascii="Segoe UI" w:hAnsi="Segoe UI"/>
                <w:color w:val="9A9B9D" w:themeColor="text1" w:themeTint="99"/>
                <w:szCs w:val="18"/>
                <w:lang w:val="en-US"/>
              </w:rPr>
              <w:t>Business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RPr="00226F00" w:rsidTr="001028FA">
        <w:trPr>
          <w:trHeight w:val="255"/>
        </w:trPr>
        <w:tc>
          <w:tcPr>
            <w:tcW w:w="4325" w:type="dxa"/>
            <w:noWrap/>
            <w:tcMar>
              <w:top w:w="0" w:type="dxa"/>
              <w:left w:w="108" w:type="dxa"/>
              <w:bottom w:w="0" w:type="dxa"/>
              <w:right w:w="108" w:type="dxa"/>
            </w:tcMar>
            <w:vAlign w:val="center"/>
            <w:hideMark/>
          </w:tcPr>
          <w:p w:rsidR="001028FA" w:rsidRPr="00A61B6D" w:rsidRDefault="001028FA">
            <w:pPr>
              <w:pStyle w:val="ProductList-Body"/>
              <w:spacing w:line="252" w:lineRule="auto"/>
              <w:rPr>
                <w:rFonts w:ascii="Segoe UI" w:hAnsi="Segoe UI"/>
                <w:color w:val="58595B" w:themeColor="text1"/>
                <w:szCs w:val="18"/>
                <w:lang w:val="en-US"/>
              </w:rPr>
            </w:pPr>
            <w:r w:rsidRPr="00A61B6D">
              <w:rPr>
                <w:rFonts w:ascii="Segoe UI" w:hAnsi="Segoe UI"/>
                <w:szCs w:val="18"/>
                <w:lang w:val="en-US"/>
              </w:rPr>
              <w:t>Windows XP (32 bit o 64 bit)</w:t>
            </w:r>
          </w:p>
        </w:tc>
      </w:tr>
      <w:tr w:rsidR="001028FA" w:rsidRPr="00226F00" w:rsidTr="001028FA">
        <w:trPr>
          <w:trHeight w:val="255"/>
        </w:trPr>
        <w:tc>
          <w:tcPr>
            <w:tcW w:w="4325" w:type="dxa"/>
            <w:noWrap/>
            <w:tcMar>
              <w:top w:w="0" w:type="dxa"/>
              <w:left w:w="108" w:type="dxa"/>
              <w:bottom w:w="0" w:type="dxa"/>
              <w:right w:w="108" w:type="dxa"/>
            </w:tcMar>
            <w:vAlign w:val="bottom"/>
            <w:hideMark/>
          </w:tcPr>
          <w:p w:rsidR="001028FA" w:rsidRPr="00D7507A" w:rsidRDefault="001028FA">
            <w:pPr>
              <w:pStyle w:val="ProductList-Body"/>
              <w:spacing w:line="252" w:lineRule="auto"/>
              <w:ind w:left="162"/>
              <w:rPr>
                <w:rFonts w:ascii="Segoe UI" w:hAnsi="Segoe UI"/>
                <w:color w:val="9A9B9D" w:themeColor="text1" w:themeTint="99"/>
                <w:szCs w:val="18"/>
                <w:lang w:val="pt-BR"/>
              </w:rPr>
            </w:pPr>
            <w:r w:rsidRPr="00226F00">
              <w:rPr>
                <w:rFonts w:ascii="Segoe UI" w:hAnsi="Segoe UI"/>
                <w:color w:val="9A9B9D" w:themeColor="text1" w:themeTint="99"/>
                <w:szCs w:val="18"/>
                <w:lang w:val="de-DE"/>
              </w:rPr>
              <w:lastRenderedPageBreak/>
              <w:t>Professional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Tablet Edition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Blade PC</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2000 Professional</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NT Workstation 4.0</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98 (inclusa la seconda edizione)</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Apple Macintosh</w:t>
            </w:r>
          </w:p>
        </w:tc>
      </w:tr>
    </w:tbl>
    <w:p w:rsidR="00633DBA" w:rsidRPr="00CA772A" w:rsidRDefault="00633DBA" w:rsidP="00633DBA">
      <w:pPr>
        <w:pStyle w:val="ProductList-Body"/>
      </w:pPr>
      <w:r>
        <w:rPr>
          <w:rFonts w:eastAsia="Calibri" w:cs="Tahoma"/>
          <w:szCs w:val="18"/>
        </w:rPr>
        <w:t xml:space="preserve"> </w:t>
      </w:r>
    </w:p>
    <w:p w:rsidR="00633DBA" w:rsidRPr="00CA772A" w:rsidRDefault="00820187" w:rsidP="00633DBA">
      <w:pPr>
        <w:pStyle w:val="ProductList-Body"/>
      </w:pPr>
      <w:r>
        <w:rPr>
          <w:rFonts w:ascii="Segoe UI" w:hAnsi="Segoe UI"/>
          <w:color w:val="58595B" w:themeColor="text1"/>
          <w:szCs w:val="18"/>
        </w:rPr>
        <w:t>Quando la società si qualifica, è idonea a utilizzare Windows Thin PC anziché istanze di sistemi operativi desktop Windows il cui uso è consentito ai sensi della copertura Windows SA o di licenze per Windows VDA.</w:t>
      </w:r>
      <w:r w:rsidR="00F659C4">
        <w:rPr>
          <w:rFonts w:ascii="Segoe UI" w:hAnsi="Segoe UI"/>
          <w:color w:val="58595B" w:themeColor="text1"/>
          <w:szCs w:val="18"/>
        </w:rPr>
        <w:t xml:space="preserve"> </w:t>
      </w:r>
    </w:p>
    <w:p w:rsidR="00633DBA" w:rsidRPr="00CA772A" w:rsidRDefault="00633DBA" w:rsidP="009A7988">
      <w:pPr>
        <w:pStyle w:val="Heading2"/>
      </w:pPr>
      <w:bookmarkStart w:id="103" w:name="_Extended_Hotfix_Support"/>
      <w:bookmarkStart w:id="104" w:name="_Supporto_Hotfix_Esteso"/>
      <w:bookmarkStart w:id="105" w:name="_Toc291204568"/>
      <w:bookmarkStart w:id="106" w:name="_Toc374472969"/>
      <w:bookmarkStart w:id="107" w:name="_Toc375840471"/>
      <w:bookmarkStart w:id="108" w:name="_Toc379797455"/>
      <w:bookmarkStart w:id="109" w:name="_Toc380513491"/>
      <w:bookmarkStart w:id="110" w:name="_Toc380655540"/>
      <w:bookmarkStart w:id="111" w:name="_Toc394601036"/>
      <w:bookmarkStart w:id="112" w:name="_Toc403380317"/>
      <w:bookmarkStart w:id="113" w:name="_Toc416105628"/>
      <w:bookmarkEnd w:id="103"/>
      <w:bookmarkEnd w:id="104"/>
      <w:r w:rsidRPr="00E949D1">
        <w:t>Supporto Hotfix Esteso</w:t>
      </w:r>
      <w:bookmarkEnd w:id="105"/>
      <w:bookmarkEnd w:id="106"/>
      <w:bookmarkEnd w:id="107"/>
      <w:bookmarkEnd w:id="108"/>
      <w:bookmarkEnd w:id="109"/>
      <w:bookmarkEnd w:id="110"/>
      <w:bookmarkEnd w:id="111"/>
      <w:bookmarkEnd w:id="112"/>
      <w:bookmarkEnd w:id="113"/>
    </w:p>
    <w:p w:rsidR="00633DBA" w:rsidRPr="00CA772A" w:rsidRDefault="00633DBA" w:rsidP="00633DBA">
      <w:pPr>
        <w:pStyle w:val="ProductList-Body"/>
      </w:pPr>
      <w:r>
        <w:rPr>
          <w:rFonts w:ascii="Segoe UI" w:hAnsi="Segoe UI"/>
          <w:color w:val="58595B" w:themeColor="text1"/>
          <w:szCs w:val="18"/>
        </w:rPr>
        <w:t>Il Supporto Hotfix Esteso è disponibile nel caso in cui la società abbia sottoscritto un contratto di supporto Premier e abbia acquistato la copertura SA.</w:t>
      </w:r>
    </w:p>
    <w:p w:rsidR="00633DBA" w:rsidRPr="00CA772A" w:rsidRDefault="00820187" w:rsidP="007B5219">
      <w:pPr>
        <w:pStyle w:val="BodyText"/>
        <w:numPr>
          <w:ilvl w:val="0"/>
          <w:numId w:val="16"/>
        </w:numPr>
        <w:spacing w:after="0"/>
      </w:pPr>
      <w:r>
        <w:t xml:space="preserve">Qualora la società disponga della copertura Partecipazione a Software Assurance per il pool di Applicazioni, si qualifica per il Supporto Hotfix Esteso per i prodotti del pool di Applicazioni. </w:t>
      </w:r>
    </w:p>
    <w:p w:rsidR="00633DBA" w:rsidRPr="00CA772A" w:rsidRDefault="00820187" w:rsidP="007B5219">
      <w:pPr>
        <w:pStyle w:val="BodyText"/>
        <w:numPr>
          <w:ilvl w:val="0"/>
          <w:numId w:val="16"/>
        </w:numPr>
        <w:spacing w:after="0"/>
      </w:pPr>
      <w:r>
        <w:t>Qualora la società disponga della copertura Partecipazione a Software Assurance per il pool di Sistemi, si qualifica per il Supporto Hotfix Esteso per il sistema operativo desktop Windows e/o per il sistema operativo Windows Embedded (con copertura Partecipazione a Software Assurance per un prodotto Windows Embedded).</w:t>
      </w:r>
    </w:p>
    <w:p w:rsidR="00633DBA" w:rsidRPr="00CA772A" w:rsidRDefault="00820187" w:rsidP="007B5219">
      <w:pPr>
        <w:pStyle w:val="BodyText"/>
        <w:numPr>
          <w:ilvl w:val="0"/>
          <w:numId w:val="16"/>
        </w:numPr>
        <w:spacing w:after="0"/>
      </w:pPr>
      <w:r>
        <w:t>Qualora la società sia in possesso di SA per almeno un prodotto server, si qualifica per il Supporto Hotfix Esteso per i prodotti Server.</w:t>
      </w:r>
      <w:r w:rsidR="00F659C4">
        <w:t xml:space="preserve"> </w:t>
      </w:r>
      <w:r>
        <w:t>I seguenti prodotti server rientrano nella copertura:</w:t>
      </w:r>
    </w:p>
    <w:p w:rsidR="00633DBA" w:rsidRPr="00CA772A" w:rsidRDefault="00633DBA" w:rsidP="007B5219">
      <w:pPr>
        <w:pStyle w:val="BodyText"/>
        <w:numPr>
          <w:ilvl w:val="1"/>
          <w:numId w:val="16"/>
        </w:numPr>
        <w:spacing w:after="0"/>
        <w:ind w:left="720" w:hanging="288"/>
      </w:pPr>
      <w:r>
        <w:t>Microsoft Exchange Server, Microsoft SQL Server, System Center 2012 e Windows Server.</w:t>
      </w:r>
    </w:p>
    <w:p w:rsidR="0046773C" w:rsidRPr="00CA772A" w:rsidRDefault="0046773C" w:rsidP="002123CF"/>
    <w:p w:rsidR="00633DBA" w:rsidRPr="00CA772A" w:rsidRDefault="00633DBA" w:rsidP="002123CF">
      <w:r>
        <w:rPr>
          <w:color w:val="58595B" w:themeColor="text1"/>
          <w:szCs w:val="18"/>
        </w:rPr>
        <w:t>Il Supporto Hotfix Esteso è un vantaggio per le versioni software più vecchie che hanno effettuato la transizione dal Supporto Mainstream a quello Esteso.</w:t>
      </w:r>
      <w:r w:rsidR="00F659C4">
        <w:rPr>
          <w:color w:val="58595B" w:themeColor="text1"/>
          <w:szCs w:val="18"/>
        </w:rPr>
        <w:t xml:space="preserve"> </w:t>
      </w:r>
      <w:r>
        <w:rPr>
          <w:color w:val="58595B" w:themeColor="text1"/>
          <w:szCs w:val="18"/>
        </w:rPr>
        <w:t>I corrispettivi annuali normalmente addebitati nell</w:t>
      </w:r>
      <w:r w:rsidR="00D1524D">
        <w:rPr>
          <w:color w:val="58595B" w:themeColor="text1"/>
          <w:szCs w:val="18"/>
        </w:rPr>
        <w:t>’</w:t>
      </w:r>
      <w:r>
        <w:rPr>
          <w:color w:val="58595B" w:themeColor="text1"/>
          <w:szCs w:val="18"/>
        </w:rPr>
        <w:t>ambito di un contratto di Supporto Esteso sono sospesi qualora la società sia idonea a ricevere il vantaggio SA. La società è comunque responsabile dei corrispettivi delle singole Hotfix.</w:t>
      </w:r>
      <w:r w:rsidR="00F659C4">
        <w:rPr>
          <w:color w:val="58595B" w:themeColor="text1"/>
          <w:szCs w:val="18"/>
        </w:rPr>
        <w:t xml:space="preserve"> </w:t>
      </w:r>
      <w:r>
        <w:rPr>
          <w:color w:val="58595B" w:themeColor="text1"/>
          <w:szCs w:val="18"/>
        </w:rPr>
        <w:t>La società idonea a ricevere questo vantaggio non dovrà abbonarsi entro il periodo di 90 giorni della transizione di un prodotto al Supporto Esteso.</w:t>
      </w:r>
      <w:r w:rsidR="00F659C4">
        <w:rPr>
          <w:color w:val="58595B" w:themeColor="text1"/>
          <w:szCs w:val="18"/>
        </w:rPr>
        <w:t xml:space="preserve"> </w:t>
      </w:r>
      <w:r>
        <w:rPr>
          <w:color w:val="58595B" w:themeColor="text1"/>
          <w:szCs w:val="18"/>
        </w:rPr>
        <w:t xml:space="preserve">La società potrà fare riferimento anche alla pagina </w:t>
      </w:r>
      <w:hyperlink r:id="rId30" w:anchor="tab=4" w:history="1">
        <w:r>
          <w:rPr>
            <w:rStyle w:val="Hyperlink"/>
          </w:rPr>
          <w:t>http://www.microsoft.com/licensing/software-assurance/by-benefits.aspx#tab=4</w:t>
        </w:r>
      </w:hyperlink>
      <w:r>
        <w:rPr>
          <w:color w:val="1F497D"/>
        </w:rPr>
        <w:t>.</w:t>
      </w:r>
    </w:p>
    <w:p w:rsidR="00873663" w:rsidRPr="00CA772A" w:rsidRDefault="00873663" w:rsidP="00873663">
      <w:pPr>
        <w:pStyle w:val="Heading2"/>
      </w:pPr>
      <w:bookmarkStart w:id="114" w:name="_Microsoft_Desktop_Optimization"/>
      <w:bookmarkStart w:id="115" w:name="_Microsoft_Dynamics_CustomerSource"/>
      <w:bookmarkStart w:id="116" w:name="_Toc403380318"/>
      <w:bookmarkStart w:id="117" w:name="_Toc416105629"/>
      <w:bookmarkStart w:id="118" w:name="_Toc336338244"/>
      <w:bookmarkStart w:id="119" w:name="_Toc372892151"/>
      <w:bookmarkStart w:id="120" w:name="_Toc379797456"/>
      <w:bookmarkStart w:id="121" w:name="_Toc380513492"/>
      <w:bookmarkStart w:id="122" w:name="_Toc380655541"/>
      <w:bookmarkStart w:id="123" w:name="_Toc394601037"/>
      <w:bookmarkEnd w:id="114"/>
      <w:bookmarkEnd w:id="115"/>
      <w:r>
        <w:t>Microsoft Dynamics CustomerSource</w:t>
      </w:r>
      <w:bookmarkEnd w:id="116"/>
      <w:bookmarkEnd w:id="117"/>
    </w:p>
    <w:p w:rsidR="00873663" w:rsidRPr="00CA772A" w:rsidRDefault="00873663" w:rsidP="00873663">
      <w:pPr>
        <w:pStyle w:val="ProductList-Body"/>
      </w:pPr>
      <w:r>
        <w:rPr>
          <w:rFonts w:ascii="Segoe UI" w:hAnsi="Segoe UI"/>
          <w:color w:val="58595B" w:themeColor="text1"/>
          <w:szCs w:val="18"/>
        </w:rPr>
        <w:t>Quando la società acquista Microsoft Dynamics con SA attiva o una Sottoscrizione Online, avrà accesso a CustomerSource.</w:t>
      </w:r>
      <w:r w:rsidR="00F659C4">
        <w:rPr>
          <w:rFonts w:ascii="Segoe UI" w:hAnsi="Segoe UI"/>
          <w:color w:val="58595B" w:themeColor="text1"/>
          <w:szCs w:val="18"/>
        </w:rPr>
        <w:t xml:space="preserve"> </w:t>
      </w:r>
      <w:r>
        <w:rPr>
          <w:rFonts w:eastAsia="Calibri" w:cs="Tahoma"/>
          <w:color w:val="58595B" w:themeColor="text1"/>
          <w:szCs w:val="18"/>
        </w:rPr>
        <w:t xml:space="preserve">Ulteriori informazioni su </w:t>
      </w:r>
      <w:r w:rsidRPr="002E1272">
        <w:rPr>
          <w:rFonts w:eastAsia="Calibri" w:cs="Tahoma"/>
          <w:color w:val="58595B" w:themeColor="text1"/>
          <w:szCs w:val="18"/>
        </w:rPr>
        <w:t>CustomerSource</w:t>
      </w:r>
      <w:r>
        <w:rPr>
          <w:rFonts w:eastAsia="Calibri" w:cs="Tahoma"/>
          <w:color w:val="58595B" w:themeColor="text1"/>
          <w:szCs w:val="18"/>
        </w:rPr>
        <w:t xml:space="preserve"> sono disponibili all</w:t>
      </w:r>
      <w:r w:rsidR="00D1524D">
        <w:rPr>
          <w:rFonts w:eastAsia="Calibri" w:cs="Tahoma"/>
          <w:color w:val="58595B" w:themeColor="text1"/>
          <w:szCs w:val="18"/>
        </w:rPr>
        <w:t>’</w:t>
      </w:r>
      <w:r>
        <w:rPr>
          <w:rFonts w:eastAsia="Calibri" w:cs="Tahoma"/>
          <w:color w:val="58595B" w:themeColor="text1"/>
          <w:szCs w:val="18"/>
        </w:rPr>
        <w:t xml:space="preserve">indirizzo </w:t>
      </w:r>
      <w:hyperlink r:id="rId31" w:history="1">
        <w:r>
          <w:rPr>
            <w:rStyle w:val="Hyperlink"/>
          </w:rPr>
          <w:t>https://mbs.microsoft.com/customersource</w:t>
        </w:r>
      </w:hyperlink>
      <w:r>
        <w:t>.</w:t>
      </w:r>
    </w:p>
    <w:p w:rsidR="00633DBA" w:rsidRPr="00643BFF" w:rsidRDefault="00633DBA" w:rsidP="009A7988">
      <w:pPr>
        <w:pStyle w:val="Heading2"/>
        <w:rPr>
          <w:lang w:val="en-US"/>
        </w:rPr>
      </w:pPr>
      <w:bookmarkStart w:id="124" w:name="_Microsoft_Desktop_Optimization_1"/>
      <w:bookmarkStart w:id="125" w:name="_Toc403380319"/>
      <w:bookmarkStart w:id="126" w:name="_Toc416105630"/>
      <w:bookmarkEnd w:id="124"/>
      <w:r w:rsidRPr="00643BFF">
        <w:rPr>
          <w:lang w:val="en-US"/>
        </w:rPr>
        <w:t>Microsoft Desktop Optimization Pack per Software Assurance</w:t>
      </w:r>
      <w:bookmarkEnd w:id="118"/>
      <w:bookmarkEnd w:id="119"/>
      <w:bookmarkEnd w:id="120"/>
      <w:bookmarkEnd w:id="121"/>
      <w:bookmarkEnd w:id="122"/>
      <w:bookmarkEnd w:id="123"/>
      <w:r>
        <w:fldChar w:fldCharType="begin"/>
      </w:r>
      <w:r w:rsidRPr="00643BFF">
        <w:rPr>
          <w:lang w:val="en-US"/>
        </w:rPr>
        <w:instrText>XE "Microsoft Desktop Optimization Pack per SA"</w:instrText>
      </w:r>
      <w:r>
        <w:fldChar w:fldCharType="end"/>
      </w:r>
      <w:r w:rsidRPr="00643BFF">
        <w:rPr>
          <w:lang w:val="en-US"/>
        </w:rPr>
        <w:t xml:space="preserve"> (MDOP)</w:t>
      </w:r>
      <w:bookmarkEnd w:id="125"/>
      <w:bookmarkEnd w:id="126"/>
    </w:p>
    <w:p w:rsidR="00633DBA" w:rsidRPr="00CA772A" w:rsidRDefault="00633DBA" w:rsidP="00633DBA">
      <w:pPr>
        <w:pStyle w:val="ProductList-Body"/>
      </w:pPr>
      <w:r>
        <w:rPr>
          <w:rFonts w:ascii="Segoe UI" w:hAnsi="Segoe UI"/>
          <w:color w:val="58595B" w:themeColor="text1"/>
          <w:szCs w:val="18"/>
        </w:rPr>
        <w:t>Microsoft Desktop Optimization Pack per SA (MDOP</w:t>
      </w:r>
      <w:r>
        <w:fldChar w:fldCharType="begin"/>
      </w:r>
      <w:r>
        <w:instrText>XE "MDOP"</w:instrText>
      </w:r>
      <w:r>
        <w:fldChar w:fldCharType="end"/>
      </w:r>
      <w:r>
        <w:rPr>
          <w:rFonts w:ascii="Segoe UI" w:hAnsi="Segoe UI"/>
          <w:color w:val="58595B" w:themeColor="text1"/>
          <w:szCs w:val="18"/>
        </w:rPr>
        <w:t>) è un acquisto opzionale disponibile unicamente qualora la società disponga di quanto segue:</w:t>
      </w:r>
    </w:p>
    <w:p w:rsidR="00633DBA" w:rsidRPr="00CA772A" w:rsidRDefault="00633DBA" w:rsidP="007B5219">
      <w:pPr>
        <w:pStyle w:val="BodyText"/>
        <w:numPr>
          <w:ilvl w:val="0"/>
          <w:numId w:val="16"/>
        </w:numPr>
        <w:spacing w:after="0"/>
      </w:pPr>
      <w:r>
        <w:t>copertura SA attiva per le licenze del sistema operativo desktop Windows o</w:t>
      </w:r>
    </w:p>
    <w:p w:rsidR="000212DA" w:rsidRPr="00CA772A" w:rsidRDefault="00633DBA" w:rsidP="005D57A6">
      <w:pPr>
        <w:pStyle w:val="BodyText"/>
        <w:numPr>
          <w:ilvl w:val="0"/>
          <w:numId w:val="16"/>
        </w:numPr>
        <w:spacing w:after="0"/>
      </w:pPr>
      <w:r>
        <w:t>sottoscrizioni attive di Windows Virtual Desktop Access</w:t>
      </w:r>
      <w:r>
        <w:fldChar w:fldCharType="begin"/>
      </w:r>
      <w:r>
        <w:instrText>XE "Windows Virtual Desktop Access"</w:instrText>
      </w:r>
      <w:r>
        <w:fldChar w:fldCharType="end"/>
      </w:r>
      <w:r>
        <w:t xml:space="preserve"> </w:t>
      </w:r>
      <w:r>
        <w:fldChar w:fldCharType="begin"/>
      </w:r>
      <w:r>
        <w:instrText>XE "Licenza “Subscription” per Windows Companion"</w:instrText>
      </w:r>
      <w:r>
        <w:fldChar w:fldCharType="end"/>
      </w:r>
      <w:bookmarkStart w:id="127" w:name="_Virtualization_Rights_for"/>
      <w:bookmarkStart w:id="128" w:name="_Toc379797457"/>
      <w:bookmarkStart w:id="129" w:name="_Toc380513493"/>
      <w:bookmarkStart w:id="130" w:name="_Toc380655542"/>
      <w:bookmarkStart w:id="131" w:name="_Toc394601038"/>
      <w:bookmarkEnd w:id="127"/>
    </w:p>
    <w:p w:rsidR="000212DA" w:rsidRPr="00CA772A" w:rsidRDefault="000212DA" w:rsidP="002123CF">
      <w:pPr>
        <w:pStyle w:val="ProductList-Body"/>
      </w:pPr>
      <w:r>
        <w:rPr>
          <w:rFonts w:ascii="Segoe UI" w:hAnsi="Segoe UI"/>
          <w:color w:val="58595B" w:themeColor="text1"/>
          <w:szCs w:val="18"/>
        </w:rPr>
        <w:t xml:space="preserve">Ulteriori dettagli sono disponibili alla pagina </w:t>
      </w:r>
      <w:hyperlink r:id="rId32" w:history="1">
        <w:r>
          <w:rPr>
            <w:color w:val="58595B" w:themeColor="text1"/>
            <w:szCs w:val="18"/>
          </w:rPr>
          <w:t>http://www.microsoft.com/licensing/about-licensing/windows8-1.aspx</w:t>
        </w:r>
      </w:hyperlink>
      <w:r>
        <w:rPr>
          <w:rFonts w:ascii="Segoe UI" w:hAnsi="Segoe UI"/>
          <w:color w:val="58595B" w:themeColor="text1"/>
          <w:szCs w:val="18"/>
        </w:rPr>
        <w:t>.</w:t>
      </w:r>
    </w:p>
    <w:p w:rsidR="00633DBA" w:rsidRPr="00CA772A" w:rsidRDefault="00633DBA" w:rsidP="009A7988">
      <w:pPr>
        <w:pStyle w:val="Heading2"/>
      </w:pPr>
      <w:bookmarkStart w:id="132" w:name="_Diritti_di_Virtualizzazione"/>
      <w:bookmarkStart w:id="133" w:name="_Toc403380320"/>
      <w:bookmarkStart w:id="134" w:name="_Toc416105631"/>
      <w:bookmarkEnd w:id="132"/>
      <w:r>
        <w:t>Diritti di Virtualizzazione per i Desktop con Licenza per Windows e Windows Embedded</w:t>
      </w:r>
      <w:bookmarkEnd w:id="128"/>
      <w:bookmarkEnd w:id="129"/>
      <w:bookmarkEnd w:id="130"/>
      <w:bookmarkEnd w:id="131"/>
      <w:bookmarkEnd w:id="133"/>
      <w:bookmarkEnd w:id="134"/>
    </w:p>
    <w:p w:rsidR="00633DBA" w:rsidRPr="00CA772A" w:rsidRDefault="00633DBA" w:rsidP="00633DBA">
      <w:pPr>
        <w:pStyle w:val="ProductList-Body"/>
      </w:pPr>
      <w:r>
        <w:rPr>
          <w:rFonts w:ascii="Segoe UI" w:hAnsi="Segoe UI"/>
          <w:color w:val="58595B" w:themeColor="text1"/>
          <w:szCs w:val="18"/>
        </w:rPr>
        <w:t>Tale diritto di utilizzo consente di eseguire il software su un massimo di quattro macchine virtuali locali.</w:t>
      </w:r>
      <w:r w:rsidR="00F659C4">
        <w:rPr>
          <w:rFonts w:ascii="Segoe UI" w:hAnsi="Segoe UI"/>
          <w:color w:val="58595B" w:themeColor="text1"/>
          <w:szCs w:val="18"/>
        </w:rPr>
        <w:t xml:space="preserve"> </w:t>
      </w:r>
      <w:r>
        <w:rPr>
          <w:rFonts w:ascii="Segoe UI" w:hAnsi="Segoe UI"/>
          <w:color w:val="58595B" w:themeColor="text1"/>
          <w:szCs w:val="18"/>
        </w:rPr>
        <w:t>Per ulteriori informazioni, la società potrà fare riferimento al documento PUR all</w:t>
      </w:r>
      <w:r w:rsidR="00D1524D">
        <w:rPr>
          <w:rFonts w:ascii="Segoe UI" w:hAnsi="Segoe UI"/>
          <w:color w:val="58595B" w:themeColor="text1"/>
          <w:szCs w:val="18"/>
        </w:rPr>
        <w:t>’</w:t>
      </w:r>
      <w:r>
        <w:rPr>
          <w:rFonts w:ascii="Segoe UI" w:hAnsi="Segoe UI"/>
          <w:color w:val="58595B" w:themeColor="text1"/>
          <w:szCs w:val="18"/>
        </w:rPr>
        <w:t xml:space="preserve">indirizzo </w:t>
      </w:r>
      <w:hyperlink r:id="rId33" w:history="1">
        <w:r>
          <w:rPr>
            <w:rStyle w:val="Hyperlink"/>
          </w:rPr>
          <w:t>http://www.microsoft.com/licensing/contracts</w:t>
        </w:r>
      </w:hyperlink>
      <w:r>
        <w:rPr>
          <w:rFonts w:ascii="Segoe UI" w:hAnsi="Segoe UI"/>
          <w:color w:val="58595B" w:themeColor="text1"/>
          <w:szCs w:val="18"/>
        </w:rPr>
        <w:t>.</w:t>
      </w:r>
    </w:p>
    <w:p w:rsidR="00633DBA" w:rsidRPr="00CA772A" w:rsidRDefault="00633DBA" w:rsidP="009A7988">
      <w:pPr>
        <w:pStyle w:val="Heading2"/>
      </w:pPr>
      <w:bookmarkStart w:id="135" w:name="_Windows_Virtual_Desktop"/>
      <w:bookmarkStart w:id="136" w:name="_Diritti_per_Windows"/>
      <w:bookmarkStart w:id="137" w:name="_Toc257907651"/>
      <w:bookmarkStart w:id="138" w:name="_Toc336338245"/>
      <w:bookmarkStart w:id="139" w:name="_Toc372892152"/>
      <w:bookmarkStart w:id="140" w:name="_Toc379797458"/>
      <w:bookmarkStart w:id="141" w:name="_Toc380513494"/>
      <w:bookmarkStart w:id="142" w:name="_Toc380655543"/>
      <w:bookmarkStart w:id="143" w:name="_Toc394601039"/>
      <w:bookmarkStart w:id="144" w:name="_Toc403380321"/>
      <w:bookmarkStart w:id="145" w:name="_Toc416105632"/>
      <w:bookmarkEnd w:id="135"/>
      <w:bookmarkEnd w:id="136"/>
      <w:r>
        <w:t>Diritti per Windows Virtual Desktop Access</w:t>
      </w:r>
      <w:r>
        <w:fldChar w:fldCharType="begin"/>
      </w:r>
      <w:r>
        <w:instrText>XE "Windows Virtual Desktop Access"</w:instrText>
      </w:r>
      <w:r>
        <w:fldChar w:fldCharType="end"/>
      </w:r>
      <w:bookmarkEnd w:id="137"/>
      <w:bookmarkEnd w:id="138"/>
      <w:bookmarkEnd w:id="139"/>
      <w:bookmarkEnd w:id="140"/>
      <w:bookmarkEnd w:id="141"/>
      <w:bookmarkEnd w:id="142"/>
      <w:bookmarkEnd w:id="143"/>
      <w:r>
        <w:t xml:space="preserve"> (VDA)</w:t>
      </w:r>
      <w:bookmarkEnd w:id="144"/>
      <w:bookmarkEnd w:id="145"/>
    </w:p>
    <w:p w:rsidR="00633DBA" w:rsidRPr="00CA772A" w:rsidRDefault="00633DBA" w:rsidP="002123CF">
      <w:pPr>
        <w:pStyle w:val="ProductList-Body"/>
      </w:pPr>
      <w:r>
        <w:rPr>
          <w:rFonts w:eastAsia="Calibri" w:cs="Tahoma"/>
          <w:color w:val="58595B" w:themeColor="text1"/>
          <w:szCs w:val="18"/>
        </w:rPr>
        <w:t xml:space="preserve">I diritti Windows VDA concedono alla società il diritto di eseguire la versione più recente del sistema operativo desktop Windows o del sistema operativo Windows Embedded. Per ulteriori informazioni su VDA, la società potrà fare riferimento al documento PUR </w:t>
      </w:r>
      <w:hyperlink r:id="rId34" w:history="1">
        <w:r>
          <w:rPr>
            <w:rStyle w:val="Hyperlink"/>
          </w:rPr>
          <w:t>http://www.microsoft.com/licensing/contracts</w:t>
        </w:r>
      </w:hyperlink>
      <w:r>
        <w:rPr>
          <w:rStyle w:val="CommentReference"/>
          <w:rFonts w:ascii="Segoe UI" w:hAnsi="Segoe UI"/>
        </w:rPr>
        <w:t>.</w:t>
      </w:r>
      <w:r w:rsidR="00F659C4">
        <w:rPr>
          <w:rStyle w:val="CommentReference"/>
          <w:rFonts w:ascii="Segoe UI" w:hAnsi="Segoe UI"/>
        </w:rPr>
        <w:t xml:space="preserve"> </w:t>
      </w:r>
      <w:r>
        <w:rPr>
          <w:rFonts w:eastAsia="Calibri" w:cs="Tahoma"/>
          <w:color w:val="58595B" w:themeColor="text1"/>
          <w:szCs w:val="18"/>
        </w:rPr>
        <w:t>VDA è disponibile anche come licenza “Subscription” specifica per dispositivi non coperti da SA per Windows.</w:t>
      </w:r>
    </w:p>
    <w:p w:rsidR="007B134C" w:rsidRPr="00CA772A" w:rsidRDefault="007B134C" w:rsidP="00CC6A48">
      <w:pPr>
        <w:pStyle w:val="Hdg1noborder"/>
      </w:pPr>
      <w:bookmarkStart w:id="146" w:name="_Dynamics_CustomerSource"/>
      <w:bookmarkStart w:id="147" w:name="_Toc207701228"/>
      <w:bookmarkStart w:id="148" w:name="_Toc295673421"/>
      <w:bookmarkStart w:id="149" w:name="_Toc336949456"/>
      <w:bookmarkStart w:id="150" w:name="_Toc359876008"/>
      <w:bookmarkStart w:id="151" w:name="_Toc370837298"/>
      <w:bookmarkStart w:id="152" w:name="_Toc403380322"/>
      <w:bookmarkStart w:id="153" w:name="_Toc416105633"/>
      <w:bookmarkEnd w:id="146"/>
      <w:bookmarkEnd w:id="147"/>
      <w:bookmarkEnd w:id="148"/>
      <w:bookmarkEnd w:id="149"/>
      <w:bookmarkEnd w:id="150"/>
      <w:bookmarkEnd w:id="151"/>
      <w:r>
        <w:t>Articolo 3</w:t>
      </w:r>
      <w:bookmarkEnd w:id="152"/>
      <w:bookmarkEnd w:id="153"/>
      <w:r>
        <w:t xml:space="preserve"> </w:t>
      </w:r>
    </w:p>
    <w:p w:rsidR="00D23B42" w:rsidRPr="00CA772A" w:rsidRDefault="00D23B42" w:rsidP="00D23B42">
      <w:pPr>
        <w:pStyle w:val="Hdg1noborder"/>
        <w:spacing w:before="120" w:after="120" w:line="240" w:lineRule="auto"/>
        <w:rPr>
          <w:rFonts w:eastAsiaTheme="majorEastAsia"/>
        </w:rPr>
      </w:pPr>
      <w:bookmarkStart w:id="154" w:name="_Toc403380323"/>
      <w:bookmarkStart w:id="155" w:name="_Toc416105634"/>
      <w:r>
        <w:rPr>
          <w:rFonts w:asciiTheme="majorHAnsi" w:eastAsiaTheme="majorEastAsia" w:hAnsiTheme="majorHAnsi" w:cstheme="majorBidi"/>
          <w:bCs/>
          <w:color w:val="8064A2" w:themeColor="accent4"/>
          <w:sz w:val="28"/>
          <w:szCs w:val="26"/>
        </w:rPr>
        <w:t>Creazione di copie di Prodotti e diritti di re-imaging</w:t>
      </w:r>
      <w:bookmarkEnd w:id="154"/>
      <w:bookmarkEnd w:id="155"/>
    </w:p>
    <w:p w:rsidR="00D23B42" w:rsidRPr="00CA772A" w:rsidRDefault="00D23B42" w:rsidP="00D23B42">
      <w:pPr>
        <w:spacing w:before="120" w:line="240" w:lineRule="auto"/>
      </w:pPr>
      <w:r>
        <w:rPr>
          <w:rFonts w:eastAsia="Times New Roman" w:cs="Times New Roman"/>
          <w:color w:val="505050"/>
          <w:szCs w:val="20"/>
        </w:rPr>
        <w:t>Gli Account per gli Acquisti</w:t>
      </w:r>
      <w:r>
        <w:t xml:space="preserve"> </w:t>
      </w:r>
      <w:r>
        <w:rPr>
          <w:rFonts w:eastAsia="Times New Roman" w:cs="Times New Roman"/>
          <w:color w:val="505050"/>
          <w:szCs w:val="20"/>
        </w:rPr>
        <w:t>registrati potranno effettuare il numero di copie dei Prodotti di cui hanno necessità per distribuirle all</w:t>
      </w:r>
      <w:r w:rsidR="00D1524D">
        <w:rPr>
          <w:rFonts w:eastAsia="Times New Roman" w:cs="Times New Roman"/>
          <w:color w:val="505050"/>
          <w:szCs w:val="20"/>
        </w:rPr>
        <w:t>’</w:t>
      </w:r>
      <w:r>
        <w:rPr>
          <w:rFonts w:eastAsia="Times New Roman" w:cs="Times New Roman"/>
          <w:color w:val="505050"/>
          <w:szCs w:val="20"/>
        </w:rPr>
        <w:t>interno della società.</w:t>
      </w:r>
      <w:r w:rsidR="00F659C4">
        <w:rPr>
          <w:rFonts w:eastAsia="Times New Roman" w:cs="Times New Roman"/>
          <w:color w:val="505050"/>
          <w:szCs w:val="20"/>
        </w:rPr>
        <w:t xml:space="preserve"> </w:t>
      </w:r>
      <w:r>
        <w:rPr>
          <w:rFonts w:eastAsia="Times New Roman" w:cs="Times New Roman"/>
          <w:color w:val="505050"/>
          <w:szCs w:val="20"/>
        </w:rPr>
        <w:t>Le copie dovranno essere autentiche ed integrali (incluse le informazioni sul copyright e i marchi) ed effettuate da copie principali ottenute da una fonte di rete approvata da Microsoft.</w:t>
      </w:r>
      <w:r w:rsidR="00F659C4">
        <w:rPr>
          <w:rFonts w:eastAsia="Times New Roman" w:cs="Times New Roman"/>
          <w:color w:val="505050"/>
          <w:szCs w:val="20"/>
        </w:rPr>
        <w:t xml:space="preserve"> </w:t>
      </w:r>
      <w:r>
        <w:rPr>
          <w:rFonts w:eastAsia="Times New Roman" w:cs="Times New Roman"/>
          <w:color w:val="505050"/>
          <w:szCs w:val="20"/>
        </w:rPr>
        <w:t>Gli Account per gli Acquisti potranno ricorrere a un terzo per effettuare tali copie; tuttavia la società e i propri account rimangono responsabili delle azioni di tale terzo.</w:t>
      </w:r>
      <w:r w:rsidR="00F659C4">
        <w:t xml:space="preserve"> </w:t>
      </w:r>
    </w:p>
    <w:p w:rsidR="00D23B42" w:rsidRPr="00CA772A" w:rsidRDefault="00D23B42" w:rsidP="00D23B42">
      <w:pPr>
        <w:spacing w:before="120" w:line="240" w:lineRule="auto"/>
      </w:pPr>
      <w:r>
        <w:rPr>
          <w:rFonts w:eastAsia="Times New Roman" w:cs="Times New Roman"/>
          <w:color w:val="505050"/>
          <w:szCs w:val="20"/>
        </w:rPr>
        <w:t>In alcuni casi il re-imaging è consentito utilizzando i supporti di memorizzazione del Prodotto.</w:t>
      </w:r>
      <w:r w:rsidR="00F659C4">
        <w:rPr>
          <w:rFonts w:eastAsia="Times New Roman" w:cs="Times New Roman"/>
          <w:color w:val="505050"/>
          <w:szCs w:val="20"/>
        </w:rPr>
        <w:t xml:space="preserve"> </w:t>
      </w:r>
      <w:r>
        <w:rPr>
          <w:rFonts w:eastAsia="Times New Roman" w:cs="Times New Roman"/>
          <w:color w:val="505050"/>
          <w:szCs w:val="20"/>
        </w:rPr>
        <w:t>Qualora un Prodotto sia stato ricevuto in licenza (1) da un Original Equipment Manufacturer (OEM), (2) come “Full Packaged Product” o “FPP” attraverso un rivenditore oppure (3) ai sensi di un altro programma Microsoft, i supporti di memorizzazione forniti ai sensi del Contratto MPSA potranno essere a livello generale impiegati per creare immagini da utilizzare in sostituzione delle copie ricevute tramite tale fonte distinta.</w:t>
      </w:r>
      <w:r w:rsidR="00F659C4">
        <w:rPr>
          <w:rFonts w:eastAsia="Times New Roman" w:cs="Times New Roman"/>
          <w:color w:val="505050"/>
          <w:szCs w:val="20"/>
        </w:rPr>
        <w:t xml:space="preserve"> </w:t>
      </w:r>
      <w:r>
        <w:rPr>
          <w:rFonts w:eastAsia="Times New Roman" w:cs="Times New Roman"/>
          <w:color w:val="505050"/>
          <w:szCs w:val="20"/>
        </w:rPr>
        <w:t>Il presente diritto è subordinato a quanto segue:</w:t>
      </w:r>
    </w:p>
    <w:p w:rsidR="00D23B42" w:rsidRPr="00CA772A" w:rsidRDefault="00D23B42" w:rsidP="00D23B42">
      <w:pPr>
        <w:pStyle w:val="BodyText"/>
        <w:numPr>
          <w:ilvl w:val="0"/>
          <w:numId w:val="16"/>
        </w:numPr>
        <w:spacing w:after="0"/>
      </w:pPr>
      <w:r>
        <w:t>Avere acquistato licenze specifiche da tale fonte distinta per ogni Prodotto di cui è stato effettuato il re-imaging.</w:t>
      </w:r>
    </w:p>
    <w:p w:rsidR="00D23B42" w:rsidRPr="00CA772A" w:rsidRDefault="00D23B42" w:rsidP="00D23B42">
      <w:pPr>
        <w:pStyle w:val="BodyText"/>
        <w:numPr>
          <w:ilvl w:val="0"/>
          <w:numId w:val="16"/>
        </w:numPr>
        <w:spacing w:after="0"/>
      </w:pPr>
      <w:r>
        <w:t>Il Prodotto, la lingua, la versione e i componenti delle copie dovranno essere identici al Prodotto, alla lingua, alla versione e a tutti i componenti delle copie che sostituiscono e il numero delle copie o delle istanze del Prodotto di cui è stato effettuato il re-imaging resterà uguale.</w:t>
      </w:r>
    </w:p>
    <w:p w:rsidR="00D23B42" w:rsidRPr="00CA772A" w:rsidRDefault="00D23B42" w:rsidP="00D23B42">
      <w:pPr>
        <w:pStyle w:val="BodyText"/>
        <w:numPr>
          <w:ilvl w:val="0"/>
          <w:numId w:val="16"/>
        </w:numPr>
        <w:spacing w:after="0"/>
      </w:pPr>
      <w:r>
        <w:t>Fatta eccezione per le copie di un sistema operativo e le copie di Prodotti ottenuti in licenza in base a un altro programma Microsoft, il tipo di prodotto (ad esempio la licenza di aggiornamento o la licenza completa) di cui è stato effettuato il re-imaging dovrà essere uguale al tipo di prodotto ottenuto in licenza da tale fonte distinta.</w:t>
      </w:r>
    </w:p>
    <w:p w:rsidR="00D23B42" w:rsidRPr="00CA772A" w:rsidRDefault="00D23B42" w:rsidP="00D23B42">
      <w:pPr>
        <w:pStyle w:val="BodyText"/>
        <w:numPr>
          <w:ilvl w:val="0"/>
          <w:numId w:val="16"/>
        </w:numPr>
        <w:spacing w:after="0"/>
      </w:pPr>
      <w:r>
        <w:t>L</w:t>
      </w:r>
      <w:r w:rsidR="00D1524D">
        <w:t>’</w:t>
      </w:r>
      <w:r>
        <w:t>Account per gli Acquisti dovrà attenersi alle procedure o ai requisiti specifici dei Prodotti per il re-imaging indicati nella Lista dei Prodotti.</w:t>
      </w:r>
    </w:p>
    <w:p w:rsidR="00D23B42" w:rsidRPr="00CA772A" w:rsidRDefault="00D23B42" w:rsidP="00D23B42">
      <w:pPr>
        <w:pStyle w:val="BodyText"/>
        <w:numPr>
          <w:ilvl w:val="0"/>
          <w:numId w:val="16"/>
        </w:numPr>
        <w:spacing w:after="0"/>
      </w:pPr>
      <w:r>
        <w:t>I Prodotti di cui è stato effettuato il re-imaging rimangono soggetti alle condizioni e ai diritti di utilizzo della licenza acquistata tramite la fonte distinta.</w:t>
      </w:r>
      <w:r w:rsidR="00F659C4">
        <w:t xml:space="preserve"> </w:t>
      </w:r>
    </w:p>
    <w:p w:rsidR="00D23B42" w:rsidRPr="00CA772A" w:rsidRDefault="00D23B42" w:rsidP="00D23B42">
      <w:pPr>
        <w:pStyle w:val="Thirdheading"/>
      </w:pPr>
      <w:r>
        <w:rPr>
          <w:b/>
        </w:rPr>
        <w:t xml:space="preserve">Creazione di copie per formazione, valutazione e backup </w:t>
      </w:r>
    </w:p>
    <w:p w:rsidR="00D23B42" w:rsidRPr="00CA772A" w:rsidRDefault="00D23B42" w:rsidP="00D23B42">
      <w:pPr>
        <w:spacing w:before="120" w:line="240" w:lineRule="auto"/>
      </w:pPr>
      <w:r>
        <w:rPr>
          <w:rFonts w:eastAsia="Times New Roman" w:cs="Times New Roman"/>
          <w:color w:val="505050"/>
          <w:szCs w:val="20"/>
        </w:rPr>
        <w:t>Per tutti i Prodotti, ad esclusione dei Servizi Online, ciascun Account per gli Acquisti potrà (1) utilizzare fino a 20 copie gratuite di un Prodotto ottenuto in licenza in un</w:t>
      </w:r>
      <w:r w:rsidR="00D1524D">
        <w:rPr>
          <w:rFonts w:eastAsia="Times New Roman" w:cs="Times New Roman"/>
          <w:color w:val="505050"/>
          <w:szCs w:val="20"/>
        </w:rPr>
        <w:t>’</w:t>
      </w:r>
      <w:r>
        <w:rPr>
          <w:rFonts w:eastAsia="Times New Roman" w:cs="Times New Roman"/>
          <w:color w:val="505050"/>
          <w:szCs w:val="20"/>
        </w:rPr>
        <w:t>aula didattica dedicata all</w:t>
      </w:r>
      <w:r w:rsidR="00D1524D">
        <w:rPr>
          <w:rFonts w:eastAsia="Times New Roman" w:cs="Times New Roman"/>
          <w:color w:val="505050"/>
          <w:szCs w:val="20"/>
        </w:rPr>
        <w:t>’</w:t>
      </w:r>
      <w:r>
        <w:rPr>
          <w:rFonts w:eastAsia="Times New Roman" w:cs="Times New Roman"/>
          <w:color w:val="505050"/>
          <w:szCs w:val="20"/>
        </w:rPr>
        <w:t xml:space="preserve">interno dei propri locali allo scopo di fornire corsi di formazione su quel particolare Prodotto, (2) utilizzare fino a 10 copie gratuite di un Prodotto per un periodo di valutazione di 60 giorni e (3) utilizzare una copia gratuita di un Prodotto ottenuto in licenza ai fini di backup o di archivio per ognuna delle sue sedi. </w:t>
      </w:r>
    </w:p>
    <w:p w:rsidR="00D23B42" w:rsidRPr="00CA772A" w:rsidRDefault="00D23B42" w:rsidP="00D23B42">
      <w:pPr>
        <w:pStyle w:val="Hdg1noborder"/>
        <w:spacing w:before="120" w:after="120" w:line="240" w:lineRule="auto"/>
        <w:rPr>
          <w:rFonts w:eastAsiaTheme="majorEastAsia"/>
        </w:rPr>
      </w:pPr>
      <w:bookmarkStart w:id="156" w:name="_Toc403380324"/>
      <w:bookmarkStart w:id="157" w:name="_Toc416105635"/>
      <w:r>
        <w:rPr>
          <w:rFonts w:asciiTheme="majorHAnsi" w:eastAsiaTheme="majorEastAsia" w:hAnsiTheme="majorHAnsi" w:cstheme="majorBidi"/>
          <w:bCs/>
          <w:color w:val="8064A2" w:themeColor="accent4"/>
          <w:sz w:val="28"/>
          <w:szCs w:val="26"/>
        </w:rPr>
        <w:t>Procedura per il Trasferimento di Licenze</w:t>
      </w:r>
      <w:bookmarkEnd w:id="156"/>
      <w:bookmarkEnd w:id="157"/>
    </w:p>
    <w:p w:rsidR="00D23B42" w:rsidRPr="00CA772A" w:rsidRDefault="00D23B42" w:rsidP="00D23B42">
      <w:pPr>
        <w:pStyle w:val="BodyText"/>
      </w:pPr>
      <w:r>
        <w:t>La società dovrà comunicare a Microsoft il trasferimento di una licenza completando il relativo modulo che può essere scaricato all</w:t>
      </w:r>
      <w:r w:rsidR="00D1524D">
        <w:t>’</w:t>
      </w:r>
      <w:r>
        <w:t xml:space="preserve">indirizzo </w:t>
      </w:r>
      <w:hyperlink r:id="rId35" w:history="1">
        <w:r>
          <w:rPr>
            <w:rStyle w:val="Hyperlink"/>
          </w:rPr>
          <w:t>http://www.microsoft.com/licensing/contracts</w:t>
        </w:r>
      </w:hyperlink>
      <w:r>
        <w:t xml:space="preserve"> e inviandolo compilato a Microsoft prima del trasferimento della licenza.</w:t>
      </w:r>
      <w:r w:rsidR="00F659C4">
        <w:t xml:space="preserve"> </w:t>
      </w:r>
      <w:r>
        <w:t>Nessun trasferimento di licenza sarà valido se la società non fornirà al cessionario, e il cessionario non accetterà per iscritto, i Diritti di Utilizzo del Prodotto applicabili, le limitazioni relative all</w:t>
      </w:r>
      <w:r w:rsidR="00D1524D">
        <w:t>’</w:t>
      </w:r>
      <w:r>
        <w:t>utilizzo, le limitazioni di responsabilità (incluse le disposizioni attinenti alle esclusioni e alla garanzia) e le limitazioni relative al trasferimento previste nel presente Articolo.</w:t>
      </w:r>
      <w:r w:rsidR="00F659C4">
        <w:t xml:space="preserve"> </w:t>
      </w:r>
    </w:p>
    <w:p w:rsidR="00D23B42" w:rsidRPr="00CA772A" w:rsidRDefault="00D23B42" w:rsidP="00D7507A">
      <w:pPr>
        <w:pStyle w:val="Hdg1noborder"/>
        <w:spacing w:before="120" w:after="120" w:line="240" w:lineRule="auto"/>
        <w:rPr>
          <w:rFonts w:eastAsiaTheme="majorEastAsia"/>
        </w:rPr>
      </w:pPr>
      <w:bookmarkStart w:id="158" w:name="_Toc403380325"/>
      <w:bookmarkStart w:id="159" w:name="_Toc416105636"/>
      <w:r>
        <w:rPr>
          <w:rFonts w:asciiTheme="majorHAnsi" w:eastAsiaTheme="majorEastAsia" w:hAnsiTheme="majorHAnsi" w:cstheme="majorBidi"/>
          <w:bCs/>
          <w:color w:val="8064A2" w:themeColor="accent4"/>
          <w:sz w:val="28"/>
          <w:szCs w:val="26"/>
        </w:rPr>
        <w:t>Calamità Naturali</w:t>
      </w:r>
      <w:bookmarkEnd w:id="158"/>
      <w:bookmarkEnd w:id="159"/>
      <w:r>
        <w:rPr>
          <w:rFonts w:asciiTheme="majorHAnsi" w:eastAsiaTheme="majorEastAsia" w:hAnsiTheme="majorHAnsi" w:cstheme="majorBidi"/>
          <w:bCs/>
          <w:color w:val="8064A2" w:themeColor="accent4"/>
          <w:sz w:val="28"/>
          <w:szCs w:val="26"/>
        </w:rPr>
        <w:t xml:space="preserve"> </w:t>
      </w:r>
    </w:p>
    <w:p w:rsidR="00D23B42" w:rsidRPr="00CA772A" w:rsidRDefault="00D23B42" w:rsidP="00D7507A">
      <w:pPr>
        <w:pStyle w:val="BodyText"/>
      </w:pPr>
      <w:r>
        <w:t>In caso di calamità naturali, Microsoft potrà fornire informazioni, assistenza o diritti aggiuntivi pubblicandoli nel momento specifico sul sito http://www.microsoft.com.</w:t>
      </w:r>
    </w:p>
    <w:p w:rsidR="00D23B42" w:rsidRPr="00CA772A" w:rsidRDefault="00D23B42" w:rsidP="00CC6A48">
      <w:pPr>
        <w:pStyle w:val="Hdg1noborder"/>
      </w:pPr>
      <w:bookmarkStart w:id="160" w:name="_Toc403380326"/>
      <w:bookmarkStart w:id="161" w:name="_Toc416105637"/>
      <w:r>
        <w:lastRenderedPageBreak/>
        <w:t>Articolo 4</w:t>
      </w:r>
      <w:bookmarkEnd w:id="160"/>
      <w:bookmarkEnd w:id="161"/>
    </w:p>
    <w:p w:rsidR="00D23B42" w:rsidRPr="00CA772A" w:rsidRDefault="00D23B42" w:rsidP="00D7507A">
      <w:pPr>
        <w:pStyle w:val="Hdg1noborder"/>
        <w:spacing w:before="120" w:after="120" w:line="240" w:lineRule="auto"/>
        <w:rPr>
          <w:rFonts w:eastAsiaTheme="majorEastAsia"/>
        </w:rPr>
      </w:pPr>
      <w:bookmarkStart w:id="162" w:name="_Toc403380327"/>
      <w:bookmarkStart w:id="163" w:name="_Toc416105638"/>
      <w:r>
        <w:rPr>
          <w:rFonts w:asciiTheme="majorHAnsi" w:eastAsiaTheme="majorEastAsia" w:hAnsiTheme="majorHAnsi" w:cstheme="majorBidi"/>
          <w:color w:val="8064A2" w:themeColor="accent4"/>
          <w:sz w:val="28"/>
          <w:szCs w:val="26"/>
        </w:rPr>
        <w:t>Modifiche apportate al Manuale delle Licenze negli ultimi 12 mesi</w:t>
      </w:r>
      <w:bookmarkEnd w:id="162"/>
      <w:bookmarkEnd w:id="163"/>
    </w:p>
    <w:p w:rsidR="007B134C" w:rsidRPr="00CA772A" w:rsidRDefault="007B134C" w:rsidP="007B5219">
      <w:pPr>
        <w:pStyle w:val="BodyText"/>
        <w:numPr>
          <w:ilvl w:val="0"/>
          <w:numId w:val="16"/>
        </w:numPr>
        <w:spacing w:after="0"/>
      </w:pPr>
      <w:r>
        <w:t xml:space="preserve">Dicembre 2013: prima pubblicazione del presente manuale. </w:t>
      </w:r>
    </w:p>
    <w:p w:rsidR="00497974" w:rsidRPr="00CA772A" w:rsidRDefault="00497974" w:rsidP="007B5219">
      <w:pPr>
        <w:pStyle w:val="BodyText"/>
        <w:numPr>
          <w:ilvl w:val="0"/>
          <w:numId w:val="16"/>
        </w:numPr>
        <w:spacing w:after="0"/>
      </w:pPr>
      <w:r>
        <w:t xml:space="preserve">Settembre 2014: aggiornamento a sostegno del lancio della copertura Software Assurance e dei relativi vantaggi. </w:t>
      </w:r>
    </w:p>
    <w:p w:rsidR="00BE480E" w:rsidRPr="00CA772A" w:rsidRDefault="00DC62AC" w:rsidP="00D7507A">
      <w:pPr>
        <w:pStyle w:val="BodyText"/>
        <w:numPr>
          <w:ilvl w:val="0"/>
          <w:numId w:val="16"/>
        </w:numPr>
        <w:spacing w:after="0"/>
      </w:pPr>
      <w:r>
        <w:t>Dicembre 2014: aggiornamento delle informazioni relative al programma Home Use Program e rimozione dei riferimenti alla licenza “Subscription” per Windows Companion.</w:t>
      </w:r>
    </w:p>
    <w:p w:rsidR="00BE480E" w:rsidRPr="00CA772A" w:rsidRDefault="00D23B42" w:rsidP="00D7507A">
      <w:pPr>
        <w:pStyle w:val="BodyText"/>
        <w:numPr>
          <w:ilvl w:val="0"/>
          <w:numId w:val="16"/>
        </w:numPr>
        <w:spacing w:after="0"/>
      </w:pPr>
      <w:r>
        <w:t xml:space="preserve">Marzo 2015: aggiornamento a sostegno del lancio delle procedure per i tipi di Account per gli Acquisti degli Enti Pubblici e degli Istituti Didattici. </w:t>
      </w:r>
    </w:p>
    <w:p w:rsidR="00BE480E" w:rsidRPr="00CA772A" w:rsidRDefault="00BE480E" w:rsidP="003B5822">
      <w:pPr>
        <w:pStyle w:val="BodyText"/>
      </w:pPr>
    </w:p>
    <w:p w:rsidR="00D23B42" w:rsidRPr="00CA772A" w:rsidRDefault="00D23B42" w:rsidP="00D23B42">
      <w:pPr>
        <w:pStyle w:val="Hdg1noborder"/>
      </w:pPr>
      <w:bookmarkStart w:id="164" w:name="_Toc403380328"/>
      <w:bookmarkStart w:id="165" w:name="_Toc416105639"/>
      <w:r>
        <w:t>Appendice</w:t>
      </w:r>
      <w:bookmarkEnd w:id="164"/>
      <w:bookmarkEnd w:id="165"/>
    </w:p>
    <w:p w:rsidR="00BE480E" w:rsidRPr="00CA772A" w:rsidRDefault="007279C8" w:rsidP="00D7507A">
      <w:pPr>
        <w:pStyle w:val="Hdg1noborder"/>
        <w:spacing w:before="120" w:after="120" w:line="240" w:lineRule="auto"/>
        <w:rPr>
          <w:rFonts w:eastAsiaTheme="majorEastAsia"/>
        </w:rPr>
      </w:pPr>
      <w:bookmarkStart w:id="166" w:name="_Toc416105640"/>
      <w:bookmarkStart w:id="167" w:name="_Toc403380329"/>
      <w:r>
        <w:rPr>
          <w:rFonts w:asciiTheme="majorHAnsi" w:eastAsiaTheme="majorEastAsia" w:hAnsiTheme="majorHAnsi" w:cstheme="majorBidi"/>
          <w:bCs/>
          <w:color w:val="8064A2" w:themeColor="accent4"/>
          <w:sz w:val="28"/>
          <w:szCs w:val="26"/>
        </w:rPr>
        <w:t>Definizione di R</w:t>
      </w:r>
      <w:r>
        <w:rPr>
          <w:rFonts w:asciiTheme="majorHAnsi" w:eastAsiaTheme="majorEastAsia" w:hAnsiTheme="majorHAnsi" w:cstheme="majorBidi"/>
          <w:color w:val="8064A2" w:themeColor="accent4"/>
          <w:sz w:val="28"/>
          <w:szCs w:val="26"/>
        </w:rPr>
        <w:t>egioni</w:t>
      </w:r>
      <w:bookmarkEnd w:id="166"/>
      <w:r>
        <w:rPr>
          <w:rFonts w:asciiTheme="majorHAnsi" w:eastAsiaTheme="majorEastAsia" w:hAnsiTheme="majorHAnsi" w:cstheme="majorBidi"/>
          <w:color w:val="8064A2" w:themeColor="accent4"/>
          <w:sz w:val="28"/>
          <w:szCs w:val="26"/>
        </w:rPr>
        <w:t xml:space="preserve"> </w:t>
      </w:r>
      <w:bookmarkEnd w:id="167"/>
    </w:p>
    <w:p w:rsidR="0074401C" w:rsidRPr="00CA772A" w:rsidRDefault="0074401C" w:rsidP="00D7507A">
      <w:pPr>
        <w:pStyle w:val="BodyText"/>
      </w:pPr>
      <w:r>
        <w:t>L</w:t>
      </w:r>
      <w:r w:rsidR="00D1524D">
        <w:t>’</w:t>
      </w:r>
      <w:r>
        <w:t>elenco che segue presenta i paesi</w:t>
      </w:r>
      <w:r w:rsidRPr="00475631">
        <w:t xml:space="preserve">, le </w:t>
      </w:r>
      <w:r>
        <w:t>regioni o i territori</w:t>
      </w:r>
      <w:r>
        <w:rPr>
          <w:color w:val="FF0000"/>
        </w:rPr>
        <w:t xml:space="preserve"> </w:t>
      </w:r>
      <w:r>
        <w:t>che rientrano nella definizione che Microsoft dà dell</w:t>
      </w:r>
      <w:r w:rsidR="00D1524D">
        <w:t>’</w:t>
      </w:r>
      <w:r>
        <w:t>Area EMEA (Europa, Medio Oriente e Africa), dei quali potranno esservi riferimenti in alcune Condizioni del Paese per i Tipi di Account per gli Acquisti. Il Contratto MPSA potrebbe non essere disponibile in tutti i paesi.</w:t>
      </w:r>
    </w:p>
    <w:p w:rsidR="00632BEC" w:rsidRPr="00F73DC0" w:rsidRDefault="00632BEC" w:rsidP="00D7507A">
      <w:pPr>
        <w:pStyle w:val="BodyText"/>
        <w:rPr>
          <w:sz w:val="14"/>
          <w:szCs w:val="14"/>
        </w:rPr>
      </w:pPr>
      <w:r w:rsidRPr="00F73DC0">
        <w:rPr>
          <w:sz w:val="14"/>
          <w:szCs w:val="14"/>
        </w:rPr>
        <w:t>Afghanistan, Albania, Algeria, Andorra, Angola, Arabia Saudita, Armenia, Austria, Azerbaigian, Bahrein, Belarus, Belgio, Benin, Bosnia ed Erzegovina, Botswana, Bulgaria, Burkina Faso, Burundi, Camerun, Capo Verde, Ciad, Cipro, Comore, Congo, Congo (RDC), Côte d</w:t>
      </w:r>
      <w:r w:rsidR="00D1524D" w:rsidRPr="00F73DC0">
        <w:rPr>
          <w:sz w:val="14"/>
          <w:szCs w:val="14"/>
        </w:rPr>
        <w:t>’</w:t>
      </w:r>
      <w:r w:rsidRPr="00F73DC0">
        <w:rPr>
          <w:sz w:val="14"/>
          <w:szCs w:val="14"/>
        </w:rPr>
        <w:t>Ivoire (Costa d</w:t>
      </w:r>
      <w:r w:rsidR="00D1524D" w:rsidRPr="00F73DC0">
        <w:rPr>
          <w:sz w:val="14"/>
          <w:szCs w:val="14"/>
        </w:rPr>
        <w:t>’</w:t>
      </w:r>
      <w:r w:rsidRPr="00F73DC0">
        <w:rPr>
          <w:sz w:val="14"/>
          <w:szCs w:val="14"/>
        </w:rPr>
        <w:t>Avorio), Croazia, Danimarca, Egitto, Emirati Arabi Uniti, Eritrea, Estonia, Etiopia, Finlandia, Francia, Gabon, Gambia, Georgia, Germania, Ghana, Gibuti, Giordania, Grecia, Guinea, Guinea-Bissau, Guinea Equatoriale, Iraq, Irlanda, Islanda, Israele, Italia, Kazakhstan, Kenya, Kirghizistan, Kuwait, Lettonia, Libano, Libia, Liechtenstein, Lituania, Lussemburgo, Macedonia, Madagascar, Malawi, Mali, Malta, Marocco, Mauritania, Mauritius, Moldova, Monaco, Mongolia, Montenegro, Mozambico, Namibia, Niger, Nigeria, Norvegia, Nuova Caledonia, Oman, Paesi Bassi, Pakistan, Polinesia Francese, Polonia, Portogallo, Qatar, Regno Unito, Repubblica Ceca, Repubblica Centrafricana, Romania, Ruanda, Russia, San Marino, Santa Sede (Città del Vaticano), Senegal, Serbia, Seychelles, Sierra Leone, Siria, Slovacchia, Slovenia, Somalia, Spagna, Sudafrica, Sudan del Sud, Svezia, Svizzera, Tagikistan, Tanzania, Togo, Tunisia, Turchia, Turkmenistan, Ucraina, Uganda, Ungheria, Uzbekistan, Yemen, Zambia e Zimbabwe</w:t>
      </w:r>
      <w:r w:rsidRPr="00F73DC0">
        <w:rPr>
          <w:rFonts w:cs="Segoe UI"/>
          <w:color w:val="1C4269"/>
          <w:sz w:val="14"/>
          <w:szCs w:val="14"/>
        </w:rPr>
        <w:t>.</w:t>
      </w:r>
    </w:p>
    <w:p w:rsidR="003B5822" w:rsidRPr="00CA772A" w:rsidRDefault="003B5822" w:rsidP="003B5822">
      <w:pPr>
        <w:pStyle w:val="BodyText"/>
      </w:pPr>
    </w:p>
    <w:sectPr w:rsidR="003B5822" w:rsidRPr="00CA772A" w:rsidSect="00BC431D">
      <w:headerReference w:type="default" r:id="rId36"/>
      <w:footerReference w:type="default" r:id="rId37"/>
      <w:headerReference w:type="first" r:id="rId38"/>
      <w:footerReference w:type="first" r:id="rId39"/>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4B31" w:rsidRDefault="00C74B31" w:rsidP="00B85670">
      <w:pPr>
        <w:spacing w:line="240" w:lineRule="auto"/>
      </w:pPr>
      <w:r>
        <w:separator/>
      </w:r>
    </w:p>
  </w:endnote>
  <w:endnote w:type="continuationSeparator" w:id="0">
    <w:p w:rsidR="00C74B31" w:rsidRDefault="00C74B31" w:rsidP="00B85670">
      <w:pPr>
        <w:spacing w:line="240" w:lineRule="auto"/>
      </w:pPr>
      <w:r>
        <w:continuationSeparator/>
      </w:r>
    </w:p>
  </w:endnote>
  <w:endnote w:type="continuationNotice" w:id="1">
    <w:p w:rsidR="00C74B31" w:rsidRDefault="00C74B3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2401" w:rsidRPr="00175A86" w:rsidRDefault="001E2401"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2401" w:rsidRPr="00EB2621" w:rsidRDefault="001E2401" w:rsidP="00EB2621">
    <w:pPr>
      <w:pStyle w:val="Footer"/>
      <w:tabs>
        <w:tab w:val="clear" w:pos="4680"/>
        <w:tab w:val="clear" w:pos="9360"/>
        <w:tab w:val="right" w:pos="10800"/>
      </w:tabs>
      <w:rPr>
        <w:lang w:val="en-US"/>
      </w:rPr>
    </w:pPr>
    <w:r w:rsidRPr="00EB2621">
      <w:rPr>
        <w:sz w:val="16"/>
        <w:lang w:val="en-US"/>
      </w:rPr>
      <w:t>© 2015 Microsoft Corporation. All rights reserved.</w:t>
    </w:r>
  </w:p>
  <w:p w:rsidR="001E2401" w:rsidRPr="00EB2621" w:rsidRDefault="001E2401" w:rsidP="00EB2621">
    <w:pPr>
      <w:pStyle w:val="Footer"/>
      <w:tabs>
        <w:tab w:val="clear" w:pos="4680"/>
        <w:tab w:val="clear" w:pos="9360"/>
        <w:tab w:val="right" w:pos="10800"/>
      </w:tabs>
      <w:rPr>
        <w:lang w:val="en-US"/>
      </w:rPr>
    </w:pPr>
    <w:r w:rsidRPr="00EB2621">
      <w:rPr>
        <w:sz w:val="16"/>
        <w:lang w:val="en-US"/>
      </w:rPr>
      <w:t>Microsoft is a registered trademark of Microsoft Corporation in the United States and/or other countries</w:t>
    </w:r>
    <w:r w:rsidRPr="00EB2621">
      <w:rPr>
        <w:lang w:val="en-US"/>
      </w:rPr>
      <w:tab/>
    </w:r>
    <w:r w:rsidRPr="006835AC">
      <w:fldChar w:fldCharType="begin"/>
    </w:r>
    <w:r w:rsidRPr="00EB2621">
      <w:rPr>
        <w:lang w:val="en-US"/>
      </w:rPr>
      <w:instrText xml:space="preserve"> PAGE   \* MERGEFORMAT </w:instrText>
    </w:r>
    <w:r w:rsidRPr="006835AC">
      <w:fldChar w:fldCharType="separate"/>
    </w:r>
    <w:r w:rsidR="004A1796">
      <w:rPr>
        <w:noProof/>
        <w:lang w:val="en-US"/>
      </w:rPr>
      <w:t>15</w:t>
    </w:r>
    <w:r w:rsidRPr="006835AC">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2401" w:rsidRDefault="001E240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4B31" w:rsidRDefault="00C74B31" w:rsidP="00B85670">
      <w:pPr>
        <w:spacing w:line="240" w:lineRule="auto"/>
      </w:pPr>
      <w:r>
        <w:separator/>
      </w:r>
    </w:p>
  </w:footnote>
  <w:footnote w:type="continuationSeparator" w:id="0">
    <w:p w:rsidR="00C74B31" w:rsidRDefault="00C74B31" w:rsidP="00B85670">
      <w:pPr>
        <w:spacing w:line="240" w:lineRule="auto"/>
      </w:pPr>
      <w:r>
        <w:continuationSeparator/>
      </w:r>
    </w:p>
  </w:footnote>
  <w:footnote w:type="continuationNotice" w:id="1">
    <w:p w:rsidR="00C74B31" w:rsidRDefault="00C74B31">
      <w:pPr>
        <w:spacing w:line="240" w:lineRule="auto"/>
      </w:pPr>
    </w:p>
  </w:footnote>
  <w:footnote w:id="2">
    <w:p w:rsidR="001E2401" w:rsidRPr="0092145A" w:rsidRDefault="001E2401" w:rsidP="0092145A">
      <w:pPr>
        <w:pStyle w:val="FootnoteText"/>
      </w:pPr>
      <w:r w:rsidRPr="007B5219">
        <w:rPr>
          <w:rStyle w:val="FootnoteReference"/>
          <w:sz w:val="18"/>
        </w:rPr>
        <w:footnoteRef/>
      </w:r>
      <w:r w:rsidRPr="0092145A">
        <w:rPr>
          <w:sz w:val="14"/>
        </w:rPr>
        <w:t>A seconda dei casi è supportata la firma fisica dei contratti creati in formato elettronico.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2401" w:rsidRPr="00175A86" w:rsidRDefault="001E2401"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2401" w:rsidRDefault="001E2401"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2401" w:rsidRDefault="001E2401">
    <w:pPr>
      <w:pStyle w:val="Header"/>
    </w:pPr>
    <w:r>
      <w:t>Manuale delle Licenze per il Contratto per i Prodotti e i Servizi Microsoft</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2401" w:rsidRDefault="001E2401"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pTA+HhEH764Hhk2XDK+RpCA5ur/goVE2P0efni/KPqZNyghjf3yBhmITBKCaHczjQk99lqKOJzH+gzBkcqJx/A==" w:salt="ir3b3neMf9kN6/QsW5sTVA=="/>
  <w:defaultTabStop w:val="720"/>
  <w:hyphenationZone w:val="283"/>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619D"/>
    <w:rsid w:val="00016D00"/>
    <w:rsid w:val="00017AC2"/>
    <w:rsid w:val="00017DB4"/>
    <w:rsid w:val="000212DA"/>
    <w:rsid w:val="000231A9"/>
    <w:rsid w:val="000323FD"/>
    <w:rsid w:val="000409EA"/>
    <w:rsid w:val="000424EE"/>
    <w:rsid w:val="00042810"/>
    <w:rsid w:val="00042822"/>
    <w:rsid w:val="00044308"/>
    <w:rsid w:val="0004581C"/>
    <w:rsid w:val="00047F4D"/>
    <w:rsid w:val="0005071D"/>
    <w:rsid w:val="000525EF"/>
    <w:rsid w:val="0006155B"/>
    <w:rsid w:val="00064F55"/>
    <w:rsid w:val="00065CEB"/>
    <w:rsid w:val="00066FCF"/>
    <w:rsid w:val="00071079"/>
    <w:rsid w:val="000720F7"/>
    <w:rsid w:val="00073A60"/>
    <w:rsid w:val="000759FF"/>
    <w:rsid w:val="00082282"/>
    <w:rsid w:val="0009057E"/>
    <w:rsid w:val="00092756"/>
    <w:rsid w:val="00092E4D"/>
    <w:rsid w:val="000962DF"/>
    <w:rsid w:val="000977E7"/>
    <w:rsid w:val="000A23F4"/>
    <w:rsid w:val="000A2A6A"/>
    <w:rsid w:val="000A39BE"/>
    <w:rsid w:val="000B14EF"/>
    <w:rsid w:val="000B7BBE"/>
    <w:rsid w:val="000C5095"/>
    <w:rsid w:val="000C61E2"/>
    <w:rsid w:val="000C6B32"/>
    <w:rsid w:val="000C706F"/>
    <w:rsid w:val="000D0738"/>
    <w:rsid w:val="000D62CF"/>
    <w:rsid w:val="000D6315"/>
    <w:rsid w:val="000D6D10"/>
    <w:rsid w:val="000E0D1D"/>
    <w:rsid w:val="000E0D27"/>
    <w:rsid w:val="000E4C2D"/>
    <w:rsid w:val="000E5195"/>
    <w:rsid w:val="000F07D1"/>
    <w:rsid w:val="000F116B"/>
    <w:rsid w:val="000F140F"/>
    <w:rsid w:val="000F6294"/>
    <w:rsid w:val="000F6D6F"/>
    <w:rsid w:val="000F7E26"/>
    <w:rsid w:val="00100F1A"/>
    <w:rsid w:val="001028FA"/>
    <w:rsid w:val="00102DDE"/>
    <w:rsid w:val="00103B57"/>
    <w:rsid w:val="001057B2"/>
    <w:rsid w:val="00106B1A"/>
    <w:rsid w:val="00112B7F"/>
    <w:rsid w:val="00115459"/>
    <w:rsid w:val="00117F1E"/>
    <w:rsid w:val="00120E85"/>
    <w:rsid w:val="00122697"/>
    <w:rsid w:val="001273AD"/>
    <w:rsid w:val="00131F5A"/>
    <w:rsid w:val="001320CD"/>
    <w:rsid w:val="00135247"/>
    <w:rsid w:val="00135C6B"/>
    <w:rsid w:val="00136723"/>
    <w:rsid w:val="00141066"/>
    <w:rsid w:val="00141526"/>
    <w:rsid w:val="0014200A"/>
    <w:rsid w:val="00144451"/>
    <w:rsid w:val="00147EA4"/>
    <w:rsid w:val="0015024B"/>
    <w:rsid w:val="00164356"/>
    <w:rsid w:val="00164B4B"/>
    <w:rsid w:val="001660CB"/>
    <w:rsid w:val="001660F0"/>
    <w:rsid w:val="00170D4D"/>
    <w:rsid w:val="00172EAD"/>
    <w:rsid w:val="00175A86"/>
    <w:rsid w:val="0018021B"/>
    <w:rsid w:val="00185211"/>
    <w:rsid w:val="00192B86"/>
    <w:rsid w:val="001A289C"/>
    <w:rsid w:val="001A45FF"/>
    <w:rsid w:val="001A7BB1"/>
    <w:rsid w:val="001B055F"/>
    <w:rsid w:val="001B1954"/>
    <w:rsid w:val="001B2CA6"/>
    <w:rsid w:val="001B6BED"/>
    <w:rsid w:val="001C0208"/>
    <w:rsid w:val="001C49C7"/>
    <w:rsid w:val="001C4E58"/>
    <w:rsid w:val="001C5448"/>
    <w:rsid w:val="001C570D"/>
    <w:rsid w:val="001D1377"/>
    <w:rsid w:val="001D165B"/>
    <w:rsid w:val="001D45F1"/>
    <w:rsid w:val="001D7147"/>
    <w:rsid w:val="001E14B6"/>
    <w:rsid w:val="001E2401"/>
    <w:rsid w:val="001F2AF5"/>
    <w:rsid w:val="001F3E0F"/>
    <w:rsid w:val="001F3EF6"/>
    <w:rsid w:val="001F5FA6"/>
    <w:rsid w:val="002004AD"/>
    <w:rsid w:val="00201815"/>
    <w:rsid w:val="00201F12"/>
    <w:rsid w:val="0020545D"/>
    <w:rsid w:val="002123CF"/>
    <w:rsid w:val="00212F1A"/>
    <w:rsid w:val="00213837"/>
    <w:rsid w:val="00214C87"/>
    <w:rsid w:val="002156C9"/>
    <w:rsid w:val="00225150"/>
    <w:rsid w:val="00226773"/>
    <w:rsid w:val="00226990"/>
    <w:rsid w:val="00226F00"/>
    <w:rsid w:val="002322E1"/>
    <w:rsid w:val="00232D11"/>
    <w:rsid w:val="0023397B"/>
    <w:rsid w:val="00235935"/>
    <w:rsid w:val="00235FBF"/>
    <w:rsid w:val="00243A0B"/>
    <w:rsid w:val="00245EA6"/>
    <w:rsid w:val="00246795"/>
    <w:rsid w:val="00247A67"/>
    <w:rsid w:val="00250EED"/>
    <w:rsid w:val="002525BA"/>
    <w:rsid w:val="002548F0"/>
    <w:rsid w:val="00262215"/>
    <w:rsid w:val="002678BC"/>
    <w:rsid w:val="00267F89"/>
    <w:rsid w:val="00270FD7"/>
    <w:rsid w:val="00275852"/>
    <w:rsid w:val="00281B0C"/>
    <w:rsid w:val="00284DB9"/>
    <w:rsid w:val="0028592E"/>
    <w:rsid w:val="00287304"/>
    <w:rsid w:val="002A1566"/>
    <w:rsid w:val="002A5A53"/>
    <w:rsid w:val="002A6712"/>
    <w:rsid w:val="002B33C0"/>
    <w:rsid w:val="002B4822"/>
    <w:rsid w:val="002B5135"/>
    <w:rsid w:val="002C2C9B"/>
    <w:rsid w:val="002C6347"/>
    <w:rsid w:val="002D5A6B"/>
    <w:rsid w:val="002D7524"/>
    <w:rsid w:val="002E0C2D"/>
    <w:rsid w:val="002E1272"/>
    <w:rsid w:val="002E2152"/>
    <w:rsid w:val="002E5149"/>
    <w:rsid w:val="002F1F6D"/>
    <w:rsid w:val="002F2035"/>
    <w:rsid w:val="002F2383"/>
    <w:rsid w:val="002F6C72"/>
    <w:rsid w:val="003020AC"/>
    <w:rsid w:val="00302F72"/>
    <w:rsid w:val="0030462C"/>
    <w:rsid w:val="00304D63"/>
    <w:rsid w:val="00307A7A"/>
    <w:rsid w:val="00307E5E"/>
    <w:rsid w:val="00310042"/>
    <w:rsid w:val="003123B8"/>
    <w:rsid w:val="0031379B"/>
    <w:rsid w:val="003175FC"/>
    <w:rsid w:val="00322F73"/>
    <w:rsid w:val="00323AE8"/>
    <w:rsid w:val="00325973"/>
    <w:rsid w:val="00346B9B"/>
    <w:rsid w:val="003500F9"/>
    <w:rsid w:val="00351635"/>
    <w:rsid w:val="00352538"/>
    <w:rsid w:val="00353123"/>
    <w:rsid w:val="003542C9"/>
    <w:rsid w:val="00360D63"/>
    <w:rsid w:val="0036127B"/>
    <w:rsid w:val="0036210B"/>
    <w:rsid w:val="0036305D"/>
    <w:rsid w:val="0036575F"/>
    <w:rsid w:val="00372F76"/>
    <w:rsid w:val="0037779D"/>
    <w:rsid w:val="003844FD"/>
    <w:rsid w:val="0038541A"/>
    <w:rsid w:val="00387123"/>
    <w:rsid w:val="00391318"/>
    <w:rsid w:val="00394D54"/>
    <w:rsid w:val="003A16AF"/>
    <w:rsid w:val="003A5BE9"/>
    <w:rsid w:val="003B0CE1"/>
    <w:rsid w:val="003B2173"/>
    <w:rsid w:val="003B5822"/>
    <w:rsid w:val="003C692B"/>
    <w:rsid w:val="003C799A"/>
    <w:rsid w:val="003D1ACE"/>
    <w:rsid w:val="003D33C9"/>
    <w:rsid w:val="003D3C28"/>
    <w:rsid w:val="003E081A"/>
    <w:rsid w:val="003E1285"/>
    <w:rsid w:val="003E2281"/>
    <w:rsid w:val="003E3140"/>
    <w:rsid w:val="003E6A97"/>
    <w:rsid w:val="003F11E1"/>
    <w:rsid w:val="003F2E57"/>
    <w:rsid w:val="003F4F8B"/>
    <w:rsid w:val="003F69A3"/>
    <w:rsid w:val="003F6B82"/>
    <w:rsid w:val="003F7CA9"/>
    <w:rsid w:val="004025D1"/>
    <w:rsid w:val="00405B6B"/>
    <w:rsid w:val="004105EA"/>
    <w:rsid w:val="00410959"/>
    <w:rsid w:val="00411DC5"/>
    <w:rsid w:val="00412234"/>
    <w:rsid w:val="0041236E"/>
    <w:rsid w:val="00412A80"/>
    <w:rsid w:val="00422AC4"/>
    <w:rsid w:val="00422D62"/>
    <w:rsid w:val="00423A62"/>
    <w:rsid w:val="00425B79"/>
    <w:rsid w:val="00426E9D"/>
    <w:rsid w:val="00431C65"/>
    <w:rsid w:val="00433D47"/>
    <w:rsid w:val="004403C2"/>
    <w:rsid w:val="0044393D"/>
    <w:rsid w:val="0044408F"/>
    <w:rsid w:val="004447D4"/>
    <w:rsid w:val="004478FF"/>
    <w:rsid w:val="00447A21"/>
    <w:rsid w:val="00460B0C"/>
    <w:rsid w:val="00461D21"/>
    <w:rsid w:val="00462369"/>
    <w:rsid w:val="00462FCA"/>
    <w:rsid w:val="00465B26"/>
    <w:rsid w:val="0046713C"/>
    <w:rsid w:val="0046773C"/>
    <w:rsid w:val="00474BEB"/>
    <w:rsid w:val="00474D69"/>
    <w:rsid w:val="00475631"/>
    <w:rsid w:val="00475EC5"/>
    <w:rsid w:val="00476E30"/>
    <w:rsid w:val="00483134"/>
    <w:rsid w:val="0048726D"/>
    <w:rsid w:val="00492987"/>
    <w:rsid w:val="00492F5F"/>
    <w:rsid w:val="00497974"/>
    <w:rsid w:val="004A1796"/>
    <w:rsid w:val="004A209C"/>
    <w:rsid w:val="004A37C2"/>
    <w:rsid w:val="004A4CD0"/>
    <w:rsid w:val="004B42BF"/>
    <w:rsid w:val="004B44CA"/>
    <w:rsid w:val="004B5E87"/>
    <w:rsid w:val="004C3E0D"/>
    <w:rsid w:val="004C64D8"/>
    <w:rsid w:val="004C7599"/>
    <w:rsid w:val="004D2F8D"/>
    <w:rsid w:val="004D494E"/>
    <w:rsid w:val="004D68DA"/>
    <w:rsid w:val="004E076F"/>
    <w:rsid w:val="004E3A0F"/>
    <w:rsid w:val="004E7AAE"/>
    <w:rsid w:val="004F3614"/>
    <w:rsid w:val="004F6196"/>
    <w:rsid w:val="00500A17"/>
    <w:rsid w:val="00505A4D"/>
    <w:rsid w:val="005123D9"/>
    <w:rsid w:val="00521626"/>
    <w:rsid w:val="00521F15"/>
    <w:rsid w:val="00522199"/>
    <w:rsid w:val="00524C92"/>
    <w:rsid w:val="00525D89"/>
    <w:rsid w:val="00527019"/>
    <w:rsid w:val="00531525"/>
    <w:rsid w:val="005327BF"/>
    <w:rsid w:val="00540AAD"/>
    <w:rsid w:val="00542F18"/>
    <w:rsid w:val="00543C50"/>
    <w:rsid w:val="00545FBD"/>
    <w:rsid w:val="0056358A"/>
    <w:rsid w:val="0056516C"/>
    <w:rsid w:val="005678D4"/>
    <w:rsid w:val="00570EA2"/>
    <w:rsid w:val="0057150D"/>
    <w:rsid w:val="0057319B"/>
    <w:rsid w:val="005819C1"/>
    <w:rsid w:val="0058567B"/>
    <w:rsid w:val="00587978"/>
    <w:rsid w:val="00590E43"/>
    <w:rsid w:val="00591ACA"/>
    <w:rsid w:val="005944C1"/>
    <w:rsid w:val="005945F1"/>
    <w:rsid w:val="005A35A6"/>
    <w:rsid w:val="005A5BC1"/>
    <w:rsid w:val="005B011C"/>
    <w:rsid w:val="005B3500"/>
    <w:rsid w:val="005B47F8"/>
    <w:rsid w:val="005B528C"/>
    <w:rsid w:val="005C1DE6"/>
    <w:rsid w:val="005C2942"/>
    <w:rsid w:val="005C4B0F"/>
    <w:rsid w:val="005C53E6"/>
    <w:rsid w:val="005C6D7F"/>
    <w:rsid w:val="005C7B11"/>
    <w:rsid w:val="005D44D8"/>
    <w:rsid w:val="005D454E"/>
    <w:rsid w:val="005D57A6"/>
    <w:rsid w:val="005E083D"/>
    <w:rsid w:val="005E1FDC"/>
    <w:rsid w:val="005E32B9"/>
    <w:rsid w:val="005E5A9C"/>
    <w:rsid w:val="005F07A3"/>
    <w:rsid w:val="005F0D98"/>
    <w:rsid w:val="00602974"/>
    <w:rsid w:val="00603D7B"/>
    <w:rsid w:val="0060420C"/>
    <w:rsid w:val="00604C01"/>
    <w:rsid w:val="00604EBB"/>
    <w:rsid w:val="00605AA7"/>
    <w:rsid w:val="0060730F"/>
    <w:rsid w:val="00607CCC"/>
    <w:rsid w:val="00614328"/>
    <w:rsid w:val="00616C6F"/>
    <w:rsid w:val="0062098D"/>
    <w:rsid w:val="00623302"/>
    <w:rsid w:val="00624BA5"/>
    <w:rsid w:val="006256C1"/>
    <w:rsid w:val="00630854"/>
    <w:rsid w:val="00632BEC"/>
    <w:rsid w:val="0063375C"/>
    <w:rsid w:val="00633DBA"/>
    <w:rsid w:val="00634CEB"/>
    <w:rsid w:val="00636207"/>
    <w:rsid w:val="006400A4"/>
    <w:rsid w:val="00640A51"/>
    <w:rsid w:val="00640E85"/>
    <w:rsid w:val="00643BFF"/>
    <w:rsid w:val="0064400B"/>
    <w:rsid w:val="00647F2A"/>
    <w:rsid w:val="00651795"/>
    <w:rsid w:val="00654F72"/>
    <w:rsid w:val="00655B9B"/>
    <w:rsid w:val="00655D9D"/>
    <w:rsid w:val="00657E50"/>
    <w:rsid w:val="00662854"/>
    <w:rsid w:val="00671405"/>
    <w:rsid w:val="006757F3"/>
    <w:rsid w:val="00675F3D"/>
    <w:rsid w:val="00677696"/>
    <w:rsid w:val="00681E5E"/>
    <w:rsid w:val="00686ED6"/>
    <w:rsid w:val="00686F3C"/>
    <w:rsid w:val="00687F5B"/>
    <w:rsid w:val="00691446"/>
    <w:rsid w:val="006A191F"/>
    <w:rsid w:val="006A22BF"/>
    <w:rsid w:val="006A4ED0"/>
    <w:rsid w:val="006A5560"/>
    <w:rsid w:val="006A79AC"/>
    <w:rsid w:val="006B17D8"/>
    <w:rsid w:val="006B18E8"/>
    <w:rsid w:val="006B6633"/>
    <w:rsid w:val="006C1914"/>
    <w:rsid w:val="006C4304"/>
    <w:rsid w:val="006D3BB6"/>
    <w:rsid w:val="006D44F4"/>
    <w:rsid w:val="006E09BD"/>
    <w:rsid w:val="006E18C3"/>
    <w:rsid w:val="006E3AD7"/>
    <w:rsid w:val="006E3F30"/>
    <w:rsid w:val="006E40BF"/>
    <w:rsid w:val="006E5C0F"/>
    <w:rsid w:val="006E732F"/>
    <w:rsid w:val="006E79DF"/>
    <w:rsid w:val="006F536A"/>
    <w:rsid w:val="006F6FFE"/>
    <w:rsid w:val="00703748"/>
    <w:rsid w:val="007057E6"/>
    <w:rsid w:val="00705924"/>
    <w:rsid w:val="007112C0"/>
    <w:rsid w:val="00711E35"/>
    <w:rsid w:val="00714CC6"/>
    <w:rsid w:val="00716335"/>
    <w:rsid w:val="007235A9"/>
    <w:rsid w:val="007279C8"/>
    <w:rsid w:val="00732568"/>
    <w:rsid w:val="00736516"/>
    <w:rsid w:val="00740D3C"/>
    <w:rsid w:val="00742254"/>
    <w:rsid w:val="0074401C"/>
    <w:rsid w:val="00745879"/>
    <w:rsid w:val="00751493"/>
    <w:rsid w:val="00752F13"/>
    <w:rsid w:val="00765616"/>
    <w:rsid w:val="00765647"/>
    <w:rsid w:val="00773AC4"/>
    <w:rsid w:val="007750FA"/>
    <w:rsid w:val="00776987"/>
    <w:rsid w:val="00777F61"/>
    <w:rsid w:val="00781694"/>
    <w:rsid w:val="0078378F"/>
    <w:rsid w:val="00785C05"/>
    <w:rsid w:val="0079025D"/>
    <w:rsid w:val="0079090A"/>
    <w:rsid w:val="00793070"/>
    <w:rsid w:val="00794C0D"/>
    <w:rsid w:val="00797B22"/>
    <w:rsid w:val="007A386F"/>
    <w:rsid w:val="007A4CBB"/>
    <w:rsid w:val="007A5EDE"/>
    <w:rsid w:val="007A6E1C"/>
    <w:rsid w:val="007A726C"/>
    <w:rsid w:val="007B0011"/>
    <w:rsid w:val="007B134C"/>
    <w:rsid w:val="007B5219"/>
    <w:rsid w:val="007B629F"/>
    <w:rsid w:val="007B76D2"/>
    <w:rsid w:val="007C144A"/>
    <w:rsid w:val="007C24DD"/>
    <w:rsid w:val="007C298E"/>
    <w:rsid w:val="007C47DC"/>
    <w:rsid w:val="007C7763"/>
    <w:rsid w:val="007C7AA8"/>
    <w:rsid w:val="007D0603"/>
    <w:rsid w:val="007D090C"/>
    <w:rsid w:val="007D4FAA"/>
    <w:rsid w:val="007D60B3"/>
    <w:rsid w:val="007E0E51"/>
    <w:rsid w:val="007E67BC"/>
    <w:rsid w:val="007F09D5"/>
    <w:rsid w:val="007F17B1"/>
    <w:rsid w:val="007F1CC7"/>
    <w:rsid w:val="007F3063"/>
    <w:rsid w:val="007F6AED"/>
    <w:rsid w:val="007F7FDF"/>
    <w:rsid w:val="0080011F"/>
    <w:rsid w:val="0080413E"/>
    <w:rsid w:val="00806F30"/>
    <w:rsid w:val="008103B3"/>
    <w:rsid w:val="0081434D"/>
    <w:rsid w:val="00814929"/>
    <w:rsid w:val="00815CEA"/>
    <w:rsid w:val="00816143"/>
    <w:rsid w:val="00820187"/>
    <w:rsid w:val="0082182C"/>
    <w:rsid w:val="00824FBF"/>
    <w:rsid w:val="00826B3E"/>
    <w:rsid w:val="00831284"/>
    <w:rsid w:val="00836F49"/>
    <w:rsid w:val="008404F0"/>
    <w:rsid w:val="00840B46"/>
    <w:rsid w:val="00843658"/>
    <w:rsid w:val="008439E5"/>
    <w:rsid w:val="00847789"/>
    <w:rsid w:val="00850C97"/>
    <w:rsid w:val="00851112"/>
    <w:rsid w:val="0085298C"/>
    <w:rsid w:val="0085327B"/>
    <w:rsid w:val="0085357F"/>
    <w:rsid w:val="008535C3"/>
    <w:rsid w:val="008545BA"/>
    <w:rsid w:val="008659D9"/>
    <w:rsid w:val="00871B19"/>
    <w:rsid w:val="0087328E"/>
    <w:rsid w:val="00873663"/>
    <w:rsid w:val="008749AF"/>
    <w:rsid w:val="00874CBB"/>
    <w:rsid w:val="0087544E"/>
    <w:rsid w:val="008762DB"/>
    <w:rsid w:val="008778CB"/>
    <w:rsid w:val="00882DB0"/>
    <w:rsid w:val="00885EAA"/>
    <w:rsid w:val="008869BC"/>
    <w:rsid w:val="0088720B"/>
    <w:rsid w:val="00887401"/>
    <w:rsid w:val="008935D8"/>
    <w:rsid w:val="008A146C"/>
    <w:rsid w:val="008A3098"/>
    <w:rsid w:val="008A325F"/>
    <w:rsid w:val="008B3736"/>
    <w:rsid w:val="008B3773"/>
    <w:rsid w:val="008B4764"/>
    <w:rsid w:val="008B5587"/>
    <w:rsid w:val="008B6D6F"/>
    <w:rsid w:val="008C38DE"/>
    <w:rsid w:val="008C3EE7"/>
    <w:rsid w:val="008C5BB2"/>
    <w:rsid w:val="008C6031"/>
    <w:rsid w:val="008C655B"/>
    <w:rsid w:val="008D2A85"/>
    <w:rsid w:val="008D3B81"/>
    <w:rsid w:val="008E0B32"/>
    <w:rsid w:val="008E6310"/>
    <w:rsid w:val="008E64F6"/>
    <w:rsid w:val="008E77D5"/>
    <w:rsid w:val="008F151D"/>
    <w:rsid w:val="008F1D3F"/>
    <w:rsid w:val="008F4EC3"/>
    <w:rsid w:val="008F6A84"/>
    <w:rsid w:val="0091089D"/>
    <w:rsid w:val="00916F53"/>
    <w:rsid w:val="00917603"/>
    <w:rsid w:val="0092145A"/>
    <w:rsid w:val="0092489B"/>
    <w:rsid w:val="00925CBD"/>
    <w:rsid w:val="009265C6"/>
    <w:rsid w:val="009268AB"/>
    <w:rsid w:val="009310EF"/>
    <w:rsid w:val="009313F8"/>
    <w:rsid w:val="00934DBE"/>
    <w:rsid w:val="00935897"/>
    <w:rsid w:val="00936129"/>
    <w:rsid w:val="009409F6"/>
    <w:rsid w:val="00940F9A"/>
    <w:rsid w:val="009410AD"/>
    <w:rsid w:val="00944CC6"/>
    <w:rsid w:val="00947E31"/>
    <w:rsid w:val="00951AB1"/>
    <w:rsid w:val="009544BF"/>
    <w:rsid w:val="00957CE7"/>
    <w:rsid w:val="009632A6"/>
    <w:rsid w:val="00963D2A"/>
    <w:rsid w:val="00963F93"/>
    <w:rsid w:val="00964499"/>
    <w:rsid w:val="00964930"/>
    <w:rsid w:val="00965B69"/>
    <w:rsid w:val="00970AFF"/>
    <w:rsid w:val="00973B72"/>
    <w:rsid w:val="00974461"/>
    <w:rsid w:val="009749B3"/>
    <w:rsid w:val="00986457"/>
    <w:rsid w:val="00987842"/>
    <w:rsid w:val="00987F4C"/>
    <w:rsid w:val="00994CAB"/>
    <w:rsid w:val="009A2B88"/>
    <w:rsid w:val="009A54BC"/>
    <w:rsid w:val="009A7988"/>
    <w:rsid w:val="009B205F"/>
    <w:rsid w:val="009B443B"/>
    <w:rsid w:val="009B6603"/>
    <w:rsid w:val="009C2043"/>
    <w:rsid w:val="009C4295"/>
    <w:rsid w:val="009C56BB"/>
    <w:rsid w:val="009C6617"/>
    <w:rsid w:val="009C7203"/>
    <w:rsid w:val="009D02E1"/>
    <w:rsid w:val="009D0E34"/>
    <w:rsid w:val="009D1979"/>
    <w:rsid w:val="009D2AD1"/>
    <w:rsid w:val="009D4E80"/>
    <w:rsid w:val="009D5624"/>
    <w:rsid w:val="009D6481"/>
    <w:rsid w:val="009E1E72"/>
    <w:rsid w:val="009E22A8"/>
    <w:rsid w:val="009F0EBF"/>
    <w:rsid w:val="009F4755"/>
    <w:rsid w:val="00A019EE"/>
    <w:rsid w:val="00A02C4D"/>
    <w:rsid w:val="00A03EAC"/>
    <w:rsid w:val="00A10832"/>
    <w:rsid w:val="00A13881"/>
    <w:rsid w:val="00A15164"/>
    <w:rsid w:val="00A165B0"/>
    <w:rsid w:val="00A1797B"/>
    <w:rsid w:val="00A17F26"/>
    <w:rsid w:val="00A216EE"/>
    <w:rsid w:val="00A221D0"/>
    <w:rsid w:val="00A2426F"/>
    <w:rsid w:val="00A257B5"/>
    <w:rsid w:val="00A3148F"/>
    <w:rsid w:val="00A32B13"/>
    <w:rsid w:val="00A32ECC"/>
    <w:rsid w:val="00A33E5C"/>
    <w:rsid w:val="00A3735F"/>
    <w:rsid w:val="00A3754E"/>
    <w:rsid w:val="00A40239"/>
    <w:rsid w:val="00A43DA7"/>
    <w:rsid w:val="00A470BA"/>
    <w:rsid w:val="00A47E26"/>
    <w:rsid w:val="00A50945"/>
    <w:rsid w:val="00A50EDC"/>
    <w:rsid w:val="00A52685"/>
    <w:rsid w:val="00A55272"/>
    <w:rsid w:val="00A55E7D"/>
    <w:rsid w:val="00A562E4"/>
    <w:rsid w:val="00A5680A"/>
    <w:rsid w:val="00A57BA1"/>
    <w:rsid w:val="00A61323"/>
    <w:rsid w:val="00A61B6D"/>
    <w:rsid w:val="00A61D93"/>
    <w:rsid w:val="00A63C5B"/>
    <w:rsid w:val="00A65E5C"/>
    <w:rsid w:val="00A6657A"/>
    <w:rsid w:val="00A67184"/>
    <w:rsid w:val="00A6721D"/>
    <w:rsid w:val="00A70309"/>
    <w:rsid w:val="00A705EA"/>
    <w:rsid w:val="00A708FB"/>
    <w:rsid w:val="00A80953"/>
    <w:rsid w:val="00A840A2"/>
    <w:rsid w:val="00A84C84"/>
    <w:rsid w:val="00A90CD0"/>
    <w:rsid w:val="00A9108F"/>
    <w:rsid w:val="00AB067C"/>
    <w:rsid w:val="00AB510A"/>
    <w:rsid w:val="00AC00DA"/>
    <w:rsid w:val="00AC16A2"/>
    <w:rsid w:val="00AC25B8"/>
    <w:rsid w:val="00AC3A62"/>
    <w:rsid w:val="00AC7212"/>
    <w:rsid w:val="00AD3A68"/>
    <w:rsid w:val="00AD5C07"/>
    <w:rsid w:val="00AD634F"/>
    <w:rsid w:val="00AE4968"/>
    <w:rsid w:val="00AE4F47"/>
    <w:rsid w:val="00AE50C2"/>
    <w:rsid w:val="00AE6E41"/>
    <w:rsid w:val="00AF2594"/>
    <w:rsid w:val="00AF36DF"/>
    <w:rsid w:val="00AF3C03"/>
    <w:rsid w:val="00AF668E"/>
    <w:rsid w:val="00B00F55"/>
    <w:rsid w:val="00B012A7"/>
    <w:rsid w:val="00B02CAA"/>
    <w:rsid w:val="00B03A7E"/>
    <w:rsid w:val="00B04664"/>
    <w:rsid w:val="00B06B12"/>
    <w:rsid w:val="00B1024A"/>
    <w:rsid w:val="00B129B1"/>
    <w:rsid w:val="00B12F09"/>
    <w:rsid w:val="00B16140"/>
    <w:rsid w:val="00B161C3"/>
    <w:rsid w:val="00B174DD"/>
    <w:rsid w:val="00B21920"/>
    <w:rsid w:val="00B21E66"/>
    <w:rsid w:val="00B22BC1"/>
    <w:rsid w:val="00B429AF"/>
    <w:rsid w:val="00B4335D"/>
    <w:rsid w:val="00B53239"/>
    <w:rsid w:val="00B53348"/>
    <w:rsid w:val="00B55AD1"/>
    <w:rsid w:val="00B639E8"/>
    <w:rsid w:val="00B73159"/>
    <w:rsid w:val="00B752C9"/>
    <w:rsid w:val="00B8388B"/>
    <w:rsid w:val="00B85670"/>
    <w:rsid w:val="00B8569E"/>
    <w:rsid w:val="00B86575"/>
    <w:rsid w:val="00B91E95"/>
    <w:rsid w:val="00B96105"/>
    <w:rsid w:val="00BA0D95"/>
    <w:rsid w:val="00BA3F15"/>
    <w:rsid w:val="00BB1BAD"/>
    <w:rsid w:val="00BB5318"/>
    <w:rsid w:val="00BB7345"/>
    <w:rsid w:val="00BC043A"/>
    <w:rsid w:val="00BC0962"/>
    <w:rsid w:val="00BC0AA2"/>
    <w:rsid w:val="00BC431D"/>
    <w:rsid w:val="00BC6802"/>
    <w:rsid w:val="00BC7B19"/>
    <w:rsid w:val="00BD00B1"/>
    <w:rsid w:val="00BD1241"/>
    <w:rsid w:val="00BD19F4"/>
    <w:rsid w:val="00BD209A"/>
    <w:rsid w:val="00BE1DB8"/>
    <w:rsid w:val="00BE480E"/>
    <w:rsid w:val="00BF15E8"/>
    <w:rsid w:val="00BF426F"/>
    <w:rsid w:val="00BF4E4B"/>
    <w:rsid w:val="00BF4EDE"/>
    <w:rsid w:val="00BF5B11"/>
    <w:rsid w:val="00C0055E"/>
    <w:rsid w:val="00C0470B"/>
    <w:rsid w:val="00C06327"/>
    <w:rsid w:val="00C118D4"/>
    <w:rsid w:val="00C11FB5"/>
    <w:rsid w:val="00C144DF"/>
    <w:rsid w:val="00C1508A"/>
    <w:rsid w:val="00C15BBF"/>
    <w:rsid w:val="00C166B6"/>
    <w:rsid w:val="00C20D99"/>
    <w:rsid w:val="00C30C8E"/>
    <w:rsid w:val="00C32447"/>
    <w:rsid w:val="00C415FE"/>
    <w:rsid w:val="00C41B6F"/>
    <w:rsid w:val="00C422F9"/>
    <w:rsid w:val="00C43029"/>
    <w:rsid w:val="00C43E24"/>
    <w:rsid w:val="00C463A3"/>
    <w:rsid w:val="00C50135"/>
    <w:rsid w:val="00C51380"/>
    <w:rsid w:val="00C538CB"/>
    <w:rsid w:val="00C55036"/>
    <w:rsid w:val="00C55C55"/>
    <w:rsid w:val="00C65EAC"/>
    <w:rsid w:val="00C66D62"/>
    <w:rsid w:val="00C72F37"/>
    <w:rsid w:val="00C74B31"/>
    <w:rsid w:val="00C80E22"/>
    <w:rsid w:val="00C8588B"/>
    <w:rsid w:val="00C93F91"/>
    <w:rsid w:val="00C9531A"/>
    <w:rsid w:val="00C96A75"/>
    <w:rsid w:val="00CA016F"/>
    <w:rsid w:val="00CA294B"/>
    <w:rsid w:val="00CA3006"/>
    <w:rsid w:val="00CA3A19"/>
    <w:rsid w:val="00CA5B39"/>
    <w:rsid w:val="00CA772A"/>
    <w:rsid w:val="00CB556C"/>
    <w:rsid w:val="00CB5E14"/>
    <w:rsid w:val="00CB7E5C"/>
    <w:rsid w:val="00CC21B3"/>
    <w:rsid w:val="00CC2542"/>
    <w:rsid w:val="00CC6A48"/>
    <w:rsid w:val="00CC75CC"/>
    <w:rsid w:val="00CD150A"/>
    <w:rsid w:val="00CD1CDD"/>
    <w:rsid w:val="00CD5087"/>
    <w:rsid w:val="00CD5666"/>
    <w:rsid w:val="00CD7E08"/>
    <w:rsid w:val="00CE0197"/>
    <w:rsid w:val="00CE05CD"/>
    <w:rsid w:val="00CE191E"/>
    <w:rsid w:val="00CE3059"/>
    <w:rsid w:val="00CE4C53"/>
    <w:rsid w:val="00CE5BE8"/>
    <w:rsid w:val="00CF609C"/>
    <w:rsid w:val="00D02DDC"/>
    <w:rsid w:val="00D06686"/>
    <w:rsid w:val="00D06B11"/>
    <w:rsid w:val="00D103AB"/>
    <w:rsid w:val="00D11874"/>
    <w:rsid w:val="00D11D1D"/>
    <w:rsid w:val="00D132D3"/>
    <w:rsid w:val="00D1524D"/>
    <w:rsid w:val="00D15932"/>
    <w:rsid w:val="00D17847"/>
    <w:rsid w:val="00D17BBE"/>
    <w:rsid w:val="00D22A53"/>
    <w:rsid w:val="00D23B42"/>
    <w:rsid w:val="00D25665"/>
    <w:rsid w:val="00D302A8"/>
    <w:rsid w:val="00D33FAD"/>
    <w:rsid w:val="00D34BCD"/>
    <w:rsid w:val="00D3521A"/>
    <w:rsid w:val="00D357DD"/>
    <w:rsid w:val="00D3708A"/>
    <w:rsid w:val="00D40C13"/>
    <w:rsid w:val="00D42EF1"/>
    <w:rsid w:val="00D5009B"/>
    <w:rsid w:val="00D527E4"/>
    <w:rsid w:val="00D60153"/>
    <w:rsid w:val="00D60E9F"/>
    <w:rsid w:val="00D619DD"/>
    <w:rsid w:val="00D6327C"/>
    <w:rsid w:val="00D63AAE"/>
    <w:rsid w:val="00D6525D"/>
    <w:rsid w:val="00D658E2"/>
    <w:rsid w:val="00D7028B"/>
    <w:rsid w:val="00D7325B"/>
    <w:rsid w:val="00D742D7"/>
    <w:rsid w:val="00D7507A"/>
    <w:rsid w:val="00D76F2D"/>
    <w:rsid w:val="00D814DA"/>
    <w:rsid w:val="00D84DF6"/>
    <w:rsid w:val="00D91938"/>
    <w:rsid w:val="00D930DF"/>
    <w:rsid w:val="00D932B8"/>
    <w:rsid w:val="00DA0539"/>
    <w:rsid w:val="00DA5B62"/>
    <w:rsid w:val="00DA6384"/>
    <w:rsid w:val="00DA67E1"/>
    <w:rsid w:val="00DB4C36"/>
    <w:rsid w:val="00DB70BC"/>
    <w:rsid w:val="00DC0BF0"/>
    <w:rsid w:val="00DC2425"/>
    <w:rsid w:val="00DC62AC"/>
    <w:rsid w:val="00DC6918"/>
    <w:rsid w:val="00DD1C3D"/>
    <w:rsid w:val="00DD2780"/>
    <w:rsid w:val="00DD41D4"/>
    <w:rsid w:val="00DD455C"/>
    <w:rsid w:val="00DE0E10"/>
    <w:rsid w:val="00DF41D5"/>
    <w:rsid w:val="00DF4958"/>
    <w:rsid w:val="00DF6A47"/>
    <w:rsid w:val="00E066CF"/>
    <w:rsid w:val="00E10622"/>
    <w:rsid w:val="00E1354D"/>
    <w:rsid w:val="00E16B45"/>
    <w:rsid w:val="00E2087C"/>
    <w:rsid w:val="00E20EC2"/>
    <w:rsid w:val="00E23144"/>
    <w:rsid w:val="00E257E0"/>
    <w:rsid w:val="00E265DE"/>
    <w:rsid w:val="00E27220"/>
    <w:rsid w:val="00E30A87"/>
    <w:rsid w:val="00E30CB7"/>
    <w:rsid w:val="00E34707"/>
    <w:rsid w:val="00E445C6"/>
    <w:rsid w:val="00E50BC8"/>
    <w:rsid w:val="00E53FB3"/>
    <w:rsid w:val="00E54BA9"/>
    <w:rsid w:val="00E56031"/>
    <w:rsid w:val="00E6326E"/>
    <w:rsid w:val="00E66243"/>
    <w:rsid w:val="00E6666F"/>
    <w:rsid w:val="00E66977"/>
    <w:rsid w:val="00E70B1B"/>
    <w:rsid w:val="00E723B3"/>
    <w:rsid w:val="00E77ED7"/>
    <w:rsid w:val="00E8024F"/>
    <w:rsid w:val="00E8140A"/>
    <w:rsid w:val="00E82782"/>
    <w:rsid w:val="00E85D19"/>
    <w:rsid w:val="00E907C4"/>
    <w:rsid w:val="00E949D1"/>
    <w:rsid w:val="00E95B8A"/>
    <w:rsid w:val="00E9770E"/>
    <w:rsid w:val="00EA1635"/>
    <w:rsid w:val="00EA30EE"/>
    <w:rsid w:val="00EA3CDC"/>
    <w:rsid w:val="00EA4630"/>
    <w:rsid w:val="00EA5ACA"/>
    <w:rsid w:val="00EA5C73"/>
    <w:rsid w:val="00EB2621"/>
    <w:rsid w:val="00EC190C"/>
    <w:rsid w:val="00EC2EB8"/>
    <w:rsid w:val="00EC6F6F"/>
    <w:rsid w:val="00EC71A2"/>
    <w:rsid w:val="00ED77B2"/>
    <w:rsid w:val="00ED7C3F"/>
    <w:rsid w:val="00EE120D"/>
    <w:rsid w:val="00EE1764"/>
    <w:rsid w:val="00EE1C86"/>
    <w:rsid w:val="00EE4FCC"/>
    <w:rsid w:val="00EE5D60"/>
    <w:rsid w:val="00EE606F"/>
    <w:rsid w:val="00EE75E6"/>
    <w:rsid w:val="00EF51CF"/>
    <w:rsid w:val="00EF5842"/>
    <w:rsid w:val="00EF70FE"/>
    <w:rsid w:val="00F00E9F"/>
    <w:rsid w:val="00F01441"/>
    <w:rsid w:val="00F03AA6"/>
    <w:rsid w:val="00F0478C"/>
    <w:rsid w:val="00F04CC0"/>
    <w:rsid w:val="00F074C6"/>
    <w:rsid w:val="00F16F06"/>
    <w:rsid w:val="00F16F17"/>
    <w:rsid w:val="00F170DF"/>
    <w:rsid w:val="00F20101"/>
    <w:rsid w:val="00F2179B"/>
    <w:rsid w:val="00F2301A"/>
    <w:rsid w:val="00F25005"/>
    <w:rsid w:val="00F25B5D"/>
    <w:rsid w:val="00F311FA"/>
    <w:rsid w:val="00F31D67"/>
    <w:rsid w:val="00F413BF"/>
    <w:rsid w:val="00F43DF3"/>
    <w:rsid w:val="00F44EC7"/>
    <w:rsid w:val="00F45A5D"/>
    <w:rsid w:val="00F46230"/>
    <w:rsid w:val="00F4625E"/>
    <w:rsid w:val="00F51460"/>
    <w:rsid w:val="00F55CB5"/>
    <w:rsid w:val="00F61BEB"/>
    <w:rsid w:val="00F62185"/>
    <w:rsid w:val="00F659C4"/>
    <w:rsid w:val="00F73DC0"/>
    <w:rsid w:val="00F73DF9"/>
    <w:rsid w:val="00F754C4"/>
    <w:rsid w:val="00F76B0E"/>
    <w:rsid w:val="00F812C8"/>
    <w:rsid w:val="00F82CF1"/>
    <w:rsid w:val="00F8608D"/>
    <w:rsid w:val="00F86670"/>
    <w:rsid w:val="00F958BA"/>
    <w:rsid w:val="00F9796C"/>
    <w:rsid w:val="00FA028E"/>
    <w:rsid w:val="00FB06A8"/>
    <w:rsid w:val="00FB2B2F"/>
    <w:rsid w:val="00FB4EE5"/>
    <w:rsid w:val="00FB65FE"/>
    <w:rsid w:val="00FB772D"/>
    <w:rsid w:val="00FC1BB1"/>
    <w:rsid w:val="00FC370B"/>
    <w:rsid w:val="00FD41F0"/>
    <w:rsid w:val="00FD4C65"/>
    <w:rsid w:val="00FD5073"/>
    <w:rsid w:val="00FD50F2"/>
    <w:rsid w:val="00FD6E78"/>
    <w:rsid w:val="00FE0DBD"/>
    <w:rsid w:val="00FE22E5"/>
    <w:rsid w:val="00FE26C2"/>
    <w:rsid w:val="00FE3098"/>
    <w:rsid w:val="00FE4846"/>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it-IT" w:eastAsia="it-IT" w:bidi="it-IT"/>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CA772A"/>
    <w:rPr>
      <w:rFonts w:ascii="Courier New" w:hAnsi="Courier New" w:cs="Courier New"/>
      <w:b w:val="0"/>
      <w:color w:val="FF0000"/>
      <w:sz w:val="18"/>
    </w:rPr>
  </w:style>
  <w:style w:type="character" w:customStyle="1" w:styleId="LogoportDoNotTranslate">
    <w:name w:val="LogoportDoNotTranslate"/>
    <w:basedOn w:val="DefaultParagraphFont"/>
    <w:uiPriority w:val="99"/>
    <w:rsid w:val="00CA772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licensing"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about-licensing/windows8-1.aspx" TargetMode="External"/><Relationship Id="rId33" Type="http://schemas.openxmlformats.org/officeDocument/2006/relationships/hyperlink" Target="http://www.microsoft.com/licensing/contract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software-assurance/planning-services-overview.aspx" TargetMode="External"/><Relationship Id="rId29" Type="http://schemas.openxmlformats.org/officeDocument/2006/relationships/hyperlink" Target="http://www.microsoft.com/licensing/software-assurance/license-mobility.asp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upport.microsoft.com/gp/saphone" TargetMode="External"/><Relationship Id="rId32" Type="http://schemas.openxmlformats.org/officeDocument/2006/relationships/hyperlink" Target="http://www.microsoft.com/licensing/about-licensing/windows8-1.aspx"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icrosoftvolumelicensing.com/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licensing/software-assurance/by-benefits.aspx" TargetMode="External"/><Relationship Id="rId36"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mbs.microsoft.com/customersourc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en-us/sharedsource/enterprise-source-licensing-program.aspx"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18FEEA-D4DB-424B-9E53-1EBAFE3E72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11343</Words>
  <Characters>64658</Characters>
  <Application>Microsoft Office Word</Application>
  <DocSecurity>0</DocSecurity>
  <Lines>538</Lines>
  <Paragraphs>151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2015-04-20T19:03:00Z</dcterms:created>
  <dcterms:modified xsi:type="dcterms:W3CDTF">2015-04-20T19:04:00Z</dcterms:modified>
</cp:coreProperties>
</file>